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208" w:firstLineChars="65"/>
        <w:rPr>
          <w:rFonts w:hint="eastAsia" w:ascii="黑体" w:hAnsi="黑体" w:eastAsia="黑体" w:cs="黑体"/>
          <w:sz w:val="32"/>
          <w:szCs w:val="32"/>
        </w:rPr>
      </w:pPr>
      <w:bookmarkStart w:id="4" w:name="_GoBack"/>
      <w:bookmarkEnd w:id="4"/>
      <w:bookmarkStart w:id="0" w:name="_Toc32003"/>
      <w:bookmarkStart w:id="1" w:name="_Toc49238605"/>
      <w:bookmarkStart w:id="2" w:name="_Toc40649365"/>
      <w:bookmarkStart w:id="3" w:name="_Toc42116269"/>
      <w:r>
        <w:rPr>
          <w:rFonts w:hint="eastAsia" w:ascii="黑体" w:hAnsi="黑体" w:eastAsia="黑体" w:cs="黑体"/>
          <w:sz w:val="32"/>
          <w:szCs w:val="32"/>
        </w:rPr>
        <w:t>附件</w:t>
      </w:r>
    </w:p>
    <w:p>
      <w:pPr>
        <w:pStyle w:val="2"/>
        <w:ind w:left="0" w:leftChars="0" w:firstLine="0" w:firstLineChars="0"/>
        <w:rPr>
          <w:rFonts w:hint="eastAsia" w:ascii="黑体" w:hAnsi="黑体" w:eastAsia="黑体" w:cs="黑体"/>
          <w:sz w:val="32"/>
          <w:szCs w:val="32"/>
        </w:rPr>
      </w:pPr>
    </w:p>
    <w:p>
      <w:pPr>
        <w:keepNext w:val="0"/>
        <w:keepLines w:val="0"/>
        <w:pageBreakBefore w:val="0"/>
        <w:kinsoku/>
        <w:wordWrap/>
        <w:overflowPunct/>
        <w:topLinePunct w:val="0"/>
        <w:autoSpaceDE/>
        <w:bidi w:val="0"/>
        <w:adjustRightInd/>
        <w:snapToGrid/>
        <w:spacing w:line="580" w:lineRule="exact"/>
        <w:jc w:val="center"/>
        <w:textAlignment w:val="auto"/>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spacing w:val="-20"/>
          <w:w w:val="95"/>
          <w:sz w:val="44"/>
          <w:szCs w:val="44"/>
        </w:rPr>
        <w:t>宁波市工业控制线外</w:t>
      </w:r>
      <w:r>
        <w:rPr>
          <w:rFonts w:hint="eastAsia" w:ascii="方正小标宋简体" w:hAnsi="方正小标宋简体" w:eastAsia="方正小标宋简体" w:cs="方正小标宋简体"/>
          <w:spacing w:val="-20"/>
          <w:w w:val="95"/>
          <w:sz w:val="44"/>
          <w:szCs w:val="44"/>
          <w:lang w:eastAsia="zh-CN"/>
        </w:rPr>
        <w:t>企业</w:t>
      </w:r>
      <w:r>
        <w:rPr>
          <w:rFonts w:hint="eastAsia" w:ascii="方正小标宋简体" w:hAnsi="方正小标宋简体" w:eastAsia="方正小标宋简体" w:cs="方正小标宋简体"/>
          <w:spacing w:val="-20"/>
          <w:w w:val="95"/>
          <w:sz w:val="44"/>
          <w:szCs w:val="44"/>
        </w:rPr>
        <w:t>“零增地”技术改造</w:t>
      </w:r>
      <w:r>
        <w:rPr>
          <w:rFonts w:hint="eastAsia" w:ascii="方正小标宋简体" w:hAnsi="方正小标宋简体" w:eastAsia="方正小标宋简体" w:cs="方正小标宋简体"/>
          <w:spacing w:val="-20"/>
          <w:w w:val="95"/>
          <w:sz w:val="44"/>
          <w:szCs w:val="44"/>
          <w:lang w:eastAsia="zh-CN"/>
        </w:rPr>
        <w:t>项目</w:t>
      </w:r>
      <w:r>
        <w:rPr>
          <w:rFonts w:hint="eastAsia" w:ascii="方正小标宋简体" w:hAnsi="方正小标宋简体" w:eastAsia="方正小标宋简体" w:cs="方正小标宋简体"/>
          <w:w w:val="95"/>
          <w:sz w:val="44"/>
          <w:szCs w:val="44"/>
        </w:rPr>
        <w:t>正面和负面清单</w:t>
      </w:r>
    </w:p>
    <w:p>
      <w:pPr>
        <w:keepNext w:val="0"/>
        <w:keepLines w:val="0"/>
        <w:pageBreakBefore w:val="0"/>
        <w:kinsoku/>
        <w:wordWrap/>
        <w:overflowPunct/>
        <w:topLinePunct w:val="0"/>
        <w:autoSpaceDE/>
        <w:bidi w:val="0"/>
        <w:adjustRightInd/>
        <w:snapToGrid/>
        <w:spacing w:line="580" w:lineRule="exact"/>
        <w:jc w:val="center"/>
        <w:textAlignment w:val="auto"/>
        <w:rPr>
          <w:rFonts w:hint="eastAsia" w:ascii="方正楷体_GBK" w:hAnsi="方正楷体_GBK" w:eastAsia="方正楷体_GBK" w:cs="方正楷体_GBK"/>
          <w:w w:val="97"/>
          <w:sz w:val="32"/>
          <w:szCs w:val="32"/>
        </w:rPr>
      </w:pPr>
      <w:r>
        <w:rPr>
          <w:rFonts w:hint="eastAsia" w:ascii="方正楷体_GBK" w:hAnsi="方正楷体_GBK" w:eastAsia="方正楷体_GBK" w:cs="方正楷体_GBK"/>
          <w:w w:val="95"/>
          <w:sz w:val="32"/>
          <w:szCs w:val="32"/>
        </w:rPr>
        <w:t>（征求意见稿）</w:t>
      </w:r>
    </w:p>
    <w:bookmarkEnd w:id="0"/>
    <w:bookmarkEnd w:id="1"/>
    <w:bookmarkEnd w:id="2"/>
    <w:bookmarkEnd w:id="3"/>
    <w:p>
      <w:pPr>
        <w:pStyle w:val="30"/>
        <w:keepNext w:val="0"/>
        <w:keepLines w:val="0"/>
        <w:pageBreakBefore w:val="0"/>
        <w:kinsoku/>
        <w:wordWrap/>
        <w:overflowPunct/>
        <w:topLinePunct w:val="0"/>
        <w:autoSpaceDE/>
        <w:bidi w:val="0"/>
        <w:adjustRightInd/>
        <w:snapToGrid/>
        <w:spacing w:line="580" w:lineRule="exact"/>
        <w:ind w:firstLine="640"/>
        <w:textAlignment w:val="auto"/>
        <w:rPr>
          <w:rFonts w:hint="eastAsia" w:ascii="仿宋_GB2312" w:hAnsi="仿宋_GB2312" w:eastAsia="仿宋_GB2312" w:cs="仿宋_GB2312"/>
        </w:rPr>
      </w:pPr>
    </w:p>
    <w:p>
      <w:pPr>
        <w:pStyle w:val="30"/>
        <w:keepNext w:val="0"/>
        <w:keepLines w:val="0"/>
        <w:pageBreakBefore w:val="0"/>
        <w:kinsoku/>
        <w:wordWrap/>
        <w:overflowPunct/>
        <w:topLinePunct w:val="0"/>
        <w:autoSpaceDE/>
        <w:bidi w:val="0"/>
        <w:adjustRightInd/>
        <w:snapToGrid/>
        <w:spacing w:line="58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为贯彻落实</w:t>
      </w:r>
      <w:r>
        <w:rPr>
          <w:rFonts w:hint="eastAsia" w:ascii="仿宋_GB2312" w:hAnsi="仿宋_GB2312" w:cs="仿宋_GB2312"/>
          <w:lang w:eastAsia="zh-CN"/>
        </w:rPr>
        <w:t>《关于构建更加完善的要素市场化配置体制机制的实施意见》</w:t>
      </w:r>
      <w:r>
        <w:rPr>
          <w:rFonts w:hint="eastAsia" w:ascii="仿宋_GB2312" w:hAnsi="仿宋_GB2312" w:eastAsia="仿宋_GB2312" w:cs="仿宋_GB2312"/>
        </w:rPr>
        <w:t>（甬</w:t>
      </w:r>
      <w:r>
        <w:rPr>
          <w:rFonts w:hint="eastAsia" w:ascii="仿宋_GB2312" w:hAnsi="仿宋_GB2312" w:cs="仿宋_GB2312"/>
          <w:lang w:eastAsia="zh-CN"/>
        </w:rPr>
        <w:t>党</w:t>
      </w:r>
      <w:r>
        <w:rPr>
          <w:rFonts w:hint="eastAsia" w:ascii="仿宋_GB2312" w:hAnsi="仿宋_GB2312" w:eastAsia="仿宋_GB2312" w:cs="仿宋_GB2312"/>
        </w:rPr>
        <w:t>发〔2021〕</w:t>
      </w:r>
      <w:r>
        <w:rPr>
          <w:rFonts w:hint="eastAsia" w:ascii="仿宋_GB2312" w:hAnsi="仿宋_GB2312" w:cs="仿宋_GB2312"/>
          <w:lang w:val="en-US" w:eastAsia="zh-CN"/>
        </w:rPr>
        <w:t>30</w:t>
      </w:r>
      <w:r>
        <w:rPr>
          <w:rFonts w:hint="eastAsia" w:ascii="仿宋_GB2312" w:hAnsi="仿宋_GB2312" w:eastAsia="仿宋_GB2312" w:cs="仿宋_GB2312"/>
        </w:rPr>
        <w:t>号）《宁波市促进资源要素优化配置推动制造业高质量发展实施办法的通知》（甬政办发〔2021〕13号），</w:t>
      </w:r>
      <w:r>
        <w:rPr>
          <w:rFonts w:hint="eastAsia" w:ascii="仿宋_GB2312" w:hAnsi="仿宋_GB2312" w:eastAsia="仿宋_GB2312" w:cs="仿宋_GB2312"/>
          <w:lang w:eastAsia="zh-CN"/>
        </w:rPr>
        <w:t>保障规划</w:t>
      </w:r>
      <w:r>
        <w:rPr>
          <w:rFonts w:hint="eastAsia" w:ascii="仿宋_GB2312" w:hAnsi="仿宋_GB2312" w:eastAsia="仿宋_GB2312" w:cs="仿宋_GB2312"/>
        </w:rPr>
        <w:t>工业控制线外</w:t>
      </w:r>
      <w:r>
        <w:rPr>
          <w:rFonts w:hint="eastAsia" w:ascii="仿宋_GB2312" w:hAnsi="仿宋_GB2312" w:eastAsia="仿宋_GB2312" w:cs="仿宋_GB2312"/>
          <w:lang w:eastAsia="zh-CN"/>
        </w:rPr>
        <w:t>现状合法企业正常生产经营</w:t>
      </w:r>
      <w:r>
        <w:rPr>
          <w:rFonts w:hint="eastAsia" w:ascii="仿宋_GB2312" w:hAnsi="仿宋_GB2312" w:eastAsia="仿宋_GB2312" w:cs="仿宋_GB2312"/>
        </w:rPr>
        <w:t>，支持企业在</w:t>
      </w:r>
      <w:r>
        <w:rPr>
          <w:rFonts w:hint="eastAsia" w:ascii="仿宋_GB2312" w:hAnsi="仿宋_GB2312" w:cs="仿宋_GB2312"/>
          <w:lang w:eastAsia="zh-CN"/>
        </w:rPr>
        <w:t>现状存量工业用</w:t>
      </w:r>
      <w:r>
        <w:rPr>
          <w:rFonts w:hint="eastAsia" w:ascii="仿宋_GB2312" w:hAnsi="仿宋_GB2312" w:eastAsia="仿宋_GB2312" w:cs="仿宋_GB2312"/>
        </w:rPr>
        <w:t>地上通过改建、扩建、新建等方式开展</w:t>
      </w:r>
      <w:r>
        <w:rPr>
          <w:rFonts w:hint="eastAsia" w:ascii="仿宋_GB2312" w:hAnsi="仿宋_GB2312" w:eastAsia="仿宋_GB2312" w:cs="仿宋_GB2312"/>
          <w:lang w:eastAsia="zh-CN"/>
        </w:rPr>
        <w:t>技术改造或</w:t>
      </w:r>
      <w:r>
        <w:rPr>
          <w:rFonts w:hint="eastAsia" w:ascii="仿宋_GB2312" w:hAnsi="仿宋_GB2312" w:cs="仿宋_GB2312"/>
          <w:lang w:eastAsia="zh-CN"/>
        </w:rPr>
        <w:t>仅</w:t>
      </w:r>
      <w:r>
        <w:rPr>
          <w:rFonts w:hint="eastAsia" w:ascii="仿宋_GB2312" w:hAnsi="仿宋_GB2312" w:eastAsia="仿宋_GB2312" w:cs="仿宋_GB2312"/>
          <w:lang w:eastAsia="zh-CN"/>
        </w:rPr>
        <w:t>提升容积率的</w:t>
      </w:r>
      <w:r>
        <w:rPr>
          <w:rFonts w:hint="eastAsia" w:ascii="仿宋_GB2312" w:hAnsi="仿宋_GB2312" w:eastAsia="仿宋_GB2312" w:cs="仿宋_GB2312"/>
        </w:rPr>
        <w:t>改造（以下简称“‘零增地’技术改造”），</w:t>
      </w:r>
      <w:r>
        <w:rPr>
          <w:rFonts w:hint="eastAsia" w:ascii="仿宋_GB2312" w:hAnsi="仿宋_GB2312" w:cs="仿宋_GB2312"/>
          <w:lang w:eastAsia="zh-CN"/>
        </w:rPr>
        <w:t>特</w:t>
      </w:r>
      <w:r>
        <w:rPr>
          <w:rFonts w:hint="eastAsia" w:ascii="仿宋_GB2312" w:hAnsi="仿宋_GB2312" w:eastAsia="仿宋_GB2312" w:cs="仿宋_GB2312"/>
          <w:lang w:eastAsia="zh-CN"/>
        </w:rPr>
        <w:t>编制</w:t>
      </w:r>
      <w:r>
        <w:rPr>
          <w:rFonts w:hint="eastAsia" w:ascii="仿宋_GB2312" w:hAnsi="仿宋_GB2312" w:eastAsia="仿宋_GB2312" w:cs="仿宋_GB2312"/>
        </w:rPr>
        <w:t>工业控制线外</w:t>
      </w:r>
      <w:r>
        <w:rPr>
          <w:rFonts w:hint="eastAsia" w:ascii="仿宋_GB2312" w:hAnsi="仿宋_GB2312" w:eastAsia="仿宋_GB2312" w:cs="仿宋_GB2312"/>
          <w:lang w:eastAsia="zh-CN"/>
        </w:rPr>
        <w:t>企业</w:t>
      </w:r>
      <w:r>
        <w:rPr>
          <w:rFonts w:hint="eastAsia" w:ascii="仿宋_GB2312" w:hAnsi="仿宋_GB2312" w:eastAsia="仿宋_GB2312" w:cs="仿宋_GB2312"/>
        </w:rPr>
        <w:t>“零增地”技术改造正面和负面清单。</w:t>
      </w:r>
    </w:p>
    <w:p>
      <w:pPr>
        <w:pStyle w:val="3"/>
        <w:keepNext w:val="0"/>
        <w:keepLines w:val="0"/>
        <w:pageBreakBefore w:val="0"/>
        <w:kinsoku/>
        <w:wordWrap/>
        <w:overflowPunct/>
        <w:topLinePunct w:val="0"/>
        <w:autoSpaceDE/>
        <w:bidi w:val="0"/>
        <w:adjustRightInd/>
        <w:snapToGrid/>
        <w:spacing w:line="580" w:lineRule="exact"/>
        <w:ind w:firstLine="643"/>
        <w:textAlignment w:val="auto"/>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一、编制说明</w:t>
      </w:r>
    </w:p>
    <w:p>
      <w:pPr>
        <w:pStyle w:val="30"/>
        <w:keepNext w:val="0"/>
        <w:keepLines w:val="0"/>
        <w:pageBreakBefore w:val="0"/>
        <w:kinsoku/>
        <w:wordWrap/>
        <w:overflowPunct/>
        <w:topLinePunct w:val="0"/>
        <w:autoSpaceDE/>
        <w:bidi w:val="0"/>
        <w:adjustRightInd/>
        <w:snapToGrid/>
        <w:spacing w:line="580" w:lineRule="exact"/>
        <w:ind w:firstLine="640"/>
        <w:textAlignment w:val="auto"/>
        <w:rPr>
          <w:rFonts w:hint="eastAsia" w:ascii="仿宋_GB2312" w:hAnsi="仿宋_GB2312" w:cs="仿宋_GB2312"/>
          <w:lang w:val="en-US" w:eastAsia="zh-CN"/>
        </w:rPr>
      </w:pPr>
      <w:r>
        <w:rPr>
          <w:rFonts w:hint="eastAsia" w:ascii="楷体_GB2312" w:hAnsi="楷体_GB2312" w:eastAsia="楷体_GB2312" w:cs="楷体_GB2312"/>
          <w:lang w:val="en-US" w:eastAsia="zh-CN"/>
        </w:rPr>
        <w:t>（一）稳定工业用地总量。</w:t>
      </w:r>
      <w:r>
        <w:rPr>
          <w:rFonts w:hint="eastAsia" w:ascii="仿宋_GB2312" w:hAnsi="仿宋_GB2312" w:eastAsia="仿宋_GB2312" w:cs="仿宋_GB2312"/>
          <w:lang w:val="en-US" w:eastAsia="zh-CN"/>
        </w:rPr>
        <w:t>按照</w:t>
      </w:r>
      <w:r>
        <w:rPr>
          <w:rFonts w:hint="eastAsia" w:ascii="仿宋_GB2312" w:hAnsi="仿宋_GB2312" w:eastAsia="仿宋_GB2312" w:cs="仿宋_GB2312"/>
        </w:rPr>
        <w:t>《宁波市</w:t>
      </w:r>
      <w:r>
        <w:rPr>
          <w:rFonts w:hint="eastAsia" w:ascii="仿宋_GB2312" w:hAnsi="仿宋_GB2312" w:cs="仿宋_GB2312"/>
          <w:lang w:eastAsia="zh-CN"/>
        </w:rPr>
        <w:t>国土空间总体</w:t>
      </w:r>
      <w:r>
        <w:rPr>
          <w:rFonts w:hint="eastAsia" w:ascii="仿宋_GB2312" w:hAnsi="仿宋_GB2312" w:eastAsia="仿宋_GB2312" w:cs="仿宋_GB2312"/>
        </w:rPr>
        <w:t>规划</w:t>
      </w:r>
      <w:r>
        <w:rPr>
          <w:rFonts w:hint="eastAsia" w:ascii="仿宋_GB2312" w:hAnsi="仿宋_GB2312" w:cs="仿宋_GB2312"/>
          <w:lang w:eastAsia="zh-CN"/>
        </w:rPr>
        <w:t>（</w:t>
      </w:r>
      <w:r>
        <w:rPr>
          <w:rFonts w:hint="eastAsia" w:ascii="仿宋_GB2312" w:hAnsi="仿宋_GB2312" w:cs="仿宋_GB2312"/>
          <w:lang w:val="en-US" w:eastAsia="zh-CN"/>
        </w:rPr>
        <w:t>2021年-2035年）</w:t>
      </w:r>
      <w:r>
        <w:rPr>
          <w:rFonts w:hint="eastAsia" w:ascii="仿宋_GB2312" w:hAnsi="仿宋_GB2312" w:eastAsia="仿宋_GB2312" w:cs="仿宋_GB2312"/>
        </w:rPr>
        <w:t>》</w:t>
      </w:r>
      <w:r>
        <w:rPr>
          <w:rFonts w:hint="eastAsia" w:ascii="仿宋_GB2312" w:hAnsi="仿宋_GB2312" w:cs="仿宋_GB2312"/>
          <w:lang w:eastAsia="zh-CN"/>
        </w:rPr>
        <w:t>，</w:t>
      </w:r>
      <w:r>
        <w:rPr>
          <w:rFonts w:hint="eastAsia" w:ascii="仿宋_GB2312" w:hAnsi="仿宋_GB2312" w:eastAsia="仿宋_GB2312" w:cs="仿宋_GB2312"/>
          <w:lang w:val="en-US" w:eastAsia="zh-CN"/>
        </w:rPr>
        <w:t>本市工业用地稳定在490平方公里，</w:t>
      </w:r>
      <w:r>
        <w:rPr>
          <w:rFonts w:hint="eastAsia" w:ascii="仿宋_GB2312" w:hAnsi="仿宋_GB2312" w:cs="仿宋_GB2312"/>
          <w:lang w:val="en-US" w:eastAsia="zh-CN"/>
        </w:rPr>
        <w:t>其中工业控制线内（主要落在战略产业园和优势产业园内）规划工业用地约390平方公里，工业控制线外保留零星工业用地约100平方公里。</w:t>
      </w:r>
    </w:p>
    <w:p>
      <w:pPr>
        <w:pStyle w:val="30"/>
        <w:keepNext w:val="0"/>
        <w:keepLines w:val="0"/>
        <w:pageBreakBefore w:val="0"/>
        <w:kinsoku/>
        <w:wordWrap/>
        <w:overflowPunct/>
        <w:topLinePunct w:val="0"/>
        <w:autoSpaceDE/>
        <w:bidi w:val="0"/>
        <w:adjustRightInd/>
        <w:snapToGrid/>
        <w:spacing w:line="580" w:lineRule="exact"/>
        <w:ind w:firstLine="640"/>
        <w:textAlignment w:val="auto"/>
        <w:rPr>
          <w:rFonts w:hint="default"/>
          <w:lang w:val="en-US" w:eastAsia="zh-CN"/>
        </w:rPr>
      </w:pPr>
      <w:r>
        <w:rPr>
          <w:rFonts w:hint="eastAsia" w:ascii="楷体_GB2312" w:hAnsi="楷体_GB2312" w:eastAsia="楷体_GB2312" w:cs="楷体_GB2312"/>
          <w:lang w:val="en-US" w:eastAsia="zh-CN"/>
        </w:rPr>
        <w:t>（二）严格保护工业控制线。</w:t>
      </w:r>
      <w:r>
        <w:rPr>
          <w:rFonts w:hint="eastAsia" w:ascii="仿宋_GB2312" w:hAnsi="仿宋_GB2312" w:eastAsia="仿宋_GB2312" w:cs="仿宋_GB2312"/>
          <w:kern w:val="0"/>
          <w:sz w:val="32"/>
          <w:lang w:bidi="ar"/>
        </w:rPr>
        <w:t>严格保护</w:t>
      </w:r>
      <w:r>
        <w:rPr>
          <w:rFonts w:hint="eastAsia" w:ascii="仿宋_GB2312" w:hAnsi="仿宋_GB2312" w:cs="仿宋_GB2312"/>
          <w:kern w:val="0"/>
          <w:sz w:val="32"/>
          <w:lang w:eastAsia="zh-CN" w:bidi="ar"/>
        </w:rPr>
        <w:t>工业</w:t>
      </w:r>
      <w:r>
        <w:rPr>
          <w:rFonts w:hint="eastAsia" w:ascii="仿宋_GB2312" w:hAnsi="仿宋_GB2312" w:eastAsia="仿宋_GB2312" w:cs="仿宋_GB2312"/>
          <w:kern w:val="0"/>
          <w:sz w:val="32"/>
          <w:lang w:bidi="ar"/>
        </w:rPr>
        <w:t>控制线内的工业用地和以工业为主导方向的发展备用地，除公共利益需要外，原则上不得作为非工业用途。</w:t>
      </w:r>
      <w:r>
        <w:rPr>
          <w:rFonts w:hint="eastAsia"/>
          <w:lang w:val="en-US" w:eastAsia="zh-CN"/>
        </w:rPr>
        <w:t>工业控制线外原则上不再新增工业用地。</w:t>
      </w:r>
      <w:r>
        <w:rPr>
          <w:rFonts w:hint="eastAsia" w:ascii="仿宋_GB2312" w:hAnsi="仿宋_GB2312" w:eastAsia="仿宋_GB2312" w:cs="仿宋_GB2312"/>
          <w:lang w:val="en-US" w:eastAsia="zh-CN"/>
        </w:rPr>
        <w:t>新增和流转的工业用地指标</w:t>
      </w:r>
      <w:r>
        <w:rPr>
          <w:rFonts w:hint="eastAsia" w:ascii="仿宋_GB2312" w:hAnsi="仿宋_GB2312" w:cs="仿宋_GB2312"/>
          <w:lang w:val="en-US" w:eastAsia="zh-CN"/>
        </w:rPr>
        <w:t>原则上进入工业控制线内</w:t>
      </w:r>
      <w:r>
        <w:rPr>
          <w:rFonts w:hint="eastAsia"/>
          <w:lang w:val="en-US" w:eastAsia="zh-CN"/>
        </w:rPr>
        <w:t>。工业控制线外保留部分工业用地企业（项目），其余企业有序实施更新转型或腾挪退出。</w:t>
      </w:r>
    </w:p>
    <w:p>
      <w:pPr>
        <w:pStyle w:val="30"/>
        <w:keepNext w:val="0"/>
        <w:keepLines w:val="0"/>
        <w:pageBreakBefore w:val="0"/>
        <w:kinsoku/>
        <w:wordWrap/>
        <w:overflowPunct/>
        <w:topLinePunct w:val="0"/>
        <w:autoSpaceDE/>
        <w:bidi w:val="0"/>
        <w:adjustRightInd/>
        <w:snapToGrid/>
        <w:spacing w:line="580" w:lineRule="exact"/>
        <w:ind w:firstLine="640"/>
        <w:textAlignment w:val="auto"/>
        <w:rPr>
          <w:rFonts w:hint="eastAsia"/>
          <w:lang w:val="en-US" w:eastAsia="zh-CN"/>
        </w:rPr>
      </w:pPr>
      <w:r>
        <w:rPr>
          <w:rFonts w:hint="eastAsia" w:ascii="楷体_GB2312" w:hAnsi="楷体_GB2312" w:eastAsia="楷体_GB2312" w:cs="楷体_GB2312"/>
          <w:lang w:val="en-US" w:eastAsia="zh-CN"/>
        </w:rPr>
        <w:t>（三）分类管理线外用地。</w:t>
      </w:r>
      <w:r>
        <w:rPr>
          <w:rFonts w:hint="eastAsia" w:ascii="仿宋_GB2312" w:hAnsi="仿宋_GB2312" w:eastAsia="仿宋_GB2312" w:cs="仿宋_GB2312"/>
          <w:kern w:val="0"/>
          <w:sz w:val="32"/>
          <w:lang w:bidi="ar"/>
        </w:rPr>
        <w:t>对位于工业控制线外</w:t>
      </w:r>
      <w:r>
        <w:rPr>
          <w:rFonts w:ascii="仿宋_GB2312" w:hAnsi="仿宋_GB2312" w:eastAsia="仿宋_GB2312" w:cs="仿宋_GB2312"/>
          <w:kern w:val="0"/>
          <w:sz w:val="32"/>
          <w:lang w:bidi="ar"/>
        </w:rPr>
        <w:t>，但</w:t>
      </w:r>
      <w:r>
        <w:rPr>
          <w:rFonts w:hint="eastAsia" w:ascii="仿宋_GB2312" w:hAnsi="仿宋_GB2312" w:eastAsia="仿宋_GB2312" w:cs="仿宋_GB2312"/>
          <w:kern w:val="0"/>
          <w:sz w:val="32"/>
          <w:lang w:bidi="ar"/>
        </w:rPr>
        <w:t>符合正面清单标准的现状工业企业</w:t>
      </w:r>
      <w:r>
        <w:rPr>
          <w:rFonts w:hint="eastAsia" w:ascii="仿宋_GB2312" w:hAnsi="仿宋_GB2312" w:cs="仿宋_GB2312"/>
          <w:kern w:val="0"/>
          <w:sz w:val="32"/>
          <w:lang w:eastAsia="zh-CN" w:bidi="ar"/>
        </w:rPr>
        <w:t>（</w:t>
      </w:r>
      <w:r>
        <w:rPr>
          <w:rFonts w:hint="eastAsia" w:ascii="仿宋_GB2312" w:hAnsi="仿宋_GB2312" w:eastAsia="仿宋_GB2312" w:cs="仿宋_GB2312"/>
          <w:kern w:val="0"/>
          <w:sz w:val="32"/>
          <w:lang w:bidi="ar"/>
        </w:rPr>
        <w:t>项目</w:t>
      </w:r>
      <w:r>
        <w:rPr>
          <w:rFonts w:hint="eastAsia" w:ascii="仿宋_GB2312" w:hAnsi="仿宋_GB2312" w:cs="仿宋_GB2312"/>
          <w:kern w:val="0"/>
          <w:sz w:val="32"/>
          <w:lang w:eastAsia="zh-CN" w:bidi="ar"/>
        </w:rPr>
        <w:t>）</w:t>
      </w:r>
      <w:r>
        <w:rPr>
          <w:rFonts w:hint="eastAsia" w:ascii="仿宋_GB2312" w:hAnsi="仿宋_GB2312" w:eastAsia="仿宋_GB2312" w:cs="仿宋_GB2312"/>
          <w:kern w:val="0"/>
          <w:sz w:val="32"/>
          <w:lang w:bidi="ar"/>
        </w:rPr>
        <w:t>，以保留现状规模为主，支持其“零增地”技术改造。对</w:t>
      </w:r>
      <w:r>
        <w:rPr>
          <w:rStyle w:val="31"/>
          <w:rFonts w:hint="eastAsia" w:ascii="仿宋_GB2312"/>
        </w:rPr>
        <w:t>位于工业控制线外</w:t>
      </w:r>
      <w:r>
        <w:rPr>
          <w:rStyle w:val="31"/>
          <w:rFonts w:ascii="仿宋_GB2312"/>
        </w:rPr>
        <w:t>，</w:t>
      </w:r>
      <w:r>
        <w:rPr>
          <w:rStyle w:val="31"/>
          <w:rFonts w:hint="eastAsia" w:ascii="仿宋_GB2312"/>
        </w:rPr>
        <w:t>且</w:t>
      </w:r>
      <w:r>
        <w:rPr>
          <w:rFonts w:hint="eastAsia" w:ascii="仿宋_GB2312" w:hAnsi="仿宋_GB2312" w:eastAsia="仿宋_GB2312" w:cs="仿宋_GB2312"/>
          <w:kern w:val="0"/>
          <w:sz w:val="32"/>
          <w:lang w:bidi="ar"/>
        </w:rPr>
        <w:t>不符合正面清单标准的工业企业项目，</w:t>
      </w:r>
      <w:r>
        <w:rPr>
          <w:rFonts w:hint="eastAsia" w:ascii="仿宋_GB2312" w:hAnsi="仿宋_GB2312" w:cs="仿宋_GB2312"/>
          <w:kern w:val="0"/>
          <w:sz w:val="32"/>
          <w:lang w:eastAsia="zh-CN" w:bidi="ar"/>
        </w:rPr>
        <w:t>暂保留现状，在新增环境容量、用能指标以及享受政府奖补政策（国家、省、市的普惠性、补偿性政策除外）等方面不予支持</w:t>
      </w:r>
      <w:r>
        <w:rPr>
          <w:rStyle w:val="31"/>
          <w:rFonts w:hint="eastAsia" w:ascii="仿宋_GB2312"/>
        </w:rPr>
        <w:t>。</w:t>
      </w:r>
      <w:r>
        <w:rPr>
          <w:rStyle w:val="31"/>
          <w:rFonts w:hint="eastAsia" w:ascii="仿宋_GB2312"/>
          <w:lang w:eastAsia="zh-CN"/>
        </w:rPr>
        <w:t>尤其对属于负面清单的企业（项目），重点加强管理和发展引导，避免二次被动转型，</w:t>
      </w:r>
      <w:r>
        <w:rPr>
          <w:rStyle w:val="31"/>
          <w:rFonts w:hint="eastAsia" w:ascii="仿宋_GB2312"/>
        </w:rPr>
        <w:t>按照规划统筹推进</w:t>
      </w:r>
      <w:r>
        <w:rPr>
          <w:rStyle w:val="31"/>
          <w:rFonts w:hint="eastAsia" w:ascii="仿宋_GB2312"/>
          <w:lang w:eastAsia="zh-CN"/>
        </w:rPr>
        <w:t>更新转型、腾挪退出</w:t>
      </w:r>
      <w:r>
        <w:rPr>
          <w:rStyle w:val="31"/>
          <w:rFonts w:hint="eastAsia" w:ascii="仿宋_GB2312"/>
        </w:rPr>
        <w:t>。</w:t>
      </w:r>
    </w:p>
    <w:p>
      <w:pPr>
        <w:pStyle w:val="3"/>
        <w:keepNext w:val="0"/>
        <w:keepLines w:val="0"/>
        <w:pageBreakBefore w:val="0"/>
        <w:kinsoku/>
        <w:wordWrap/>
        <w:overflowPunct/>
        <w:topLinePunct w:val="0"/>
        <w:autoSpaceDE/>
        <w:bidi w:val="0"/>
        <w:adjustRightInd/>
        <w:snapToGrid/>
        <w:spacing w:line="580" w:lineRule="exact"/>
        <w:ind w:firstLine="643"/>
        <w:textAlignment w:val="auto"/>
        <w:rPr>
          <w:rFonts w:hint="eastAsia" w:ascii="方正黑体_GBK" w:hAnsi="方正黑体_GBK" w:eastAsia="方正黑体_GBK" w:cs="方正黑体_GBK"/>
          <w:b w:val="0"/>
          <w:bCs w:val="0"/>
          <w:lang w:eastAsia="zh-CN"/>
        </w:rPr>
      </w:pPr>
      <w:r>
        <w:rPr>
          <w:rFonts w:hint="eastAsia" w:ascii="方正黑体_GBK" w:hAnsi="方正黑体_GBK" w:eastAsia="方正黑体_GBK" w:cs="方正黑体_GBK"/>
          <w:b w:val="0"/>
          <w:bCs w:val="0"/>
        </w:rPr>
        <w:t>二、正面清单</w:t>
      </w:r>
      <w:r>
        <w:rPr>
          <w:rFonts w:hint="eastAsia" w:ascii="方正黑体_GBK" w:hAnsi="方正黑体_GBK" w:eastAsia="方正黑体_GBK" w:cs="方正黑体_GBK"/>
          <w:b w:val="0"/>
          <w:bCs w:val="0"/>
          <w:lang w:eastAsia="zh-CN"/>
        </w:rPr>
        <w:t>（须五项标准同时符合）</w:t>
      </w:r>
    </w:p>
    <w:p>
      <w:pPr>
        <w:pStyle w:val="4"/>
        <w:keepNext w:val="0"/>
        <w:keepLines w:val="0"/>
        <w:pageBreakBefore w:val="0"/>
        <w:kinsoku/>
        <w:wordWrap/>
        <w:overflowPunct/>
        <w:topLinePunct w:val="0"/>
        <w:autoSpaceDE/>
        <w:bidi w:val="0"/>
        <w:adjustRightInd/>
        <w:snapToGrid/>
        <w:spacing w:line="580" w:lineRule="exact"/>
        <w:ind w:firstLine="602"/>
        <w:textAlignment w:val="auto"/>
        <w:rPr>
          <w:b w:val="0"/>
          <w:bCs w:val="0"/>
        </w:rPr>
      </w:pPr>
      <w:r>
        <w:rPr>
          <w:rFonts w:hint="eastAsia"/>
          <w:b w:val="0"/>
          <w:bCs w:val="0"/>
        </w:rPr>
        <w:t>（一）产业标准</w:t>
      </w:r>
    </w:p>
    <w:p>
      <w:pPr>
        <w:pStyle w:val="30"/>
        <w:keepNext w:val="0"/>
        <w:keepLines w:val="0"/>
        <w:pageBreakBefore w:val="0"/>
        <w:kinsoku/>
        <w:wordWrap/>
        <w:overflowPunct/>
        <w:topLinePunct w:val="0"/>
        <w:autoSpaceDE/>
        <w:bidi w:val="0"/>
        <w:adjustRightInd/>
        <w:snapToGrid/>
        <w:spacing w:line="580" w:lineRule="exact"/>
        <w:ind w:firstLine="640"/>
        <w:textAlignment w:val="auto"/>
      </w:pPr>
      <w:r>
        <w:rPr>
          <w:rFonts w:hint="eastAsia"/>
        </w:rPr>
        <w:t>符合国家发改委《产业结构调整指导目录》规定的“鼓励类”产业项目标准，符合本市及所在区域产业发展规划。属于本市重点培育</w:t>
      </w:r>
      <w:r>
        <w:rPr>
          <w:rFonts w:hint="eastAsia"/>
          <w:lang w:eastAsia="zh-CN"/>
        </w:rPr>
        <w:t>的</w:t>
      </w:r>
      <w:r>
        <w:rPr>
          <w:rFonts w:hint="eastAsia"/>
        </w:rPr>
        <w:t>战略性新兴产业、</w:t>
      </w:r>
      <w:r>
        <w:rPr>
          <w:rFonts w:hint="eastAsia"/>
          <w:lang w:eastAsia="zh-CN"/>
        </w:rPr>
        <w:t>先进制造业、</w:t>
      </w:r>
      <w:r>
        <w:rPr>
          <w:rFonts w:hint="eastAsia"/>
        </w:rPr>
        <w:t>生产性服务业的重要内容或与相关产业链功能配套的重要环节，符合智能化、高端化、集群化、服务化、精品化和绿色化六大技术改造重点方向。</w:t>
      </w:r>
    </w:p>
    <w:p>
      <w:pPr>
        <w:pStyle w:val="4"/>
        <w:keepNext w:val="0"/>
        <w:keepLines w:val="0"/>
        <w:pageBreakBefore w:val="0"/>
        <w:kinsoku/>
        <w:wordWrap/>
        <w:overflowPunct/>
        <w:topLinePunct w:val="0"/>
        <w:autoSpaceDE/>
        <w:bidi w:val="0"/>
        <w:adjustRightInd/>
        <w:snapToGrid/>
        <w:spacing w:line="580" w:lineRule="exact"/>
        <w:ind w:firstLine="602"/>
        <w:textAlignment w:val="auto"/>
        <w:rPr>
          <w:b w:val="0"/>
          <w:bCs w:val="0"/>
        </w:rPr>
      </w:pPr>
      <w:r>
        <w:rPr>
          <w:rFonts w:hint="eastAsia"/>
          <w:b w:val="0"/>
          <w:bCs w:val="0"/>
        </w:rPr>
        <w:t>（二）企业标准（至少符合其中一项标准）</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1.</w:t>
      </w:r>
      <w:r>
        <w:rPr>
          <w:rFonts w:hint="eastAsia" w:ascii="仿宋_GB2312" w:hAnsi="仿宋_GB2312" w:eastAsia="仿宋_GB2312" w:cs="仿宋_GB2312"/>
          <w:b/>
          <w:lang w:eastAsia="zh-CN"/>
        </w:rPr>
        <w:t>资源利用效益</w:t>
      </w:r>
      <w:r>
        <w:rPr>
          <w:rFonts w:hint="eastAsia" w:ascii="仿宋_GB2312" w:hAnsi="仿宋_GB2312" w:eastAsia="仿宋_GB2312" w:cs="仿宋_GB2312"/>
          <w:b/>
        </w:rPr>
        <w:t>。</w:t>
      </w:r>
      <w:r>
        <w:rPr>
          <w:rFonts w:hint="eastAsia" w:ascii="仿宋_GB2312" w:hAnsi="仿宋_GB2312" w:eastAsia="仿宋_GB2312" w:cs="仿宋_GB2312"/>
        </w:rPr>
        <w:t>在工业控制线外但处于城镇开发边界内、近三年内有两年</w:t>
      </w:r>
      <w:r>
        <w:rPr>
          <w:rFonts w:hint="eastAsia" w:ascii="仿宋_GB2312" w:hAnsi="仿宋_GB2312" w:eastAsia="仿宋_GB2312" w:cs="仿宋_GB2312"/>
          <w:lang w:eastAsia="zh-CN"/>
        </w:rPr>
        <w:t>“亩均论英雄”</w:t>
      </w:r>
      <w:r>
        <w:rPr>
          <w:rFonts w:hint="eastAsia" w:ascii="仿宋_GB2312" w:hAnsi="仿宋_GB2312" w:eastAsia="仿宋_GB2312" w:cs="仿宋_GB2312"/>
        </w:rPr>
        <w:t>评价结果为B档及以上的企业；城镇开发边界外、当年亩均税收评价结果为B档及以上的企业（若当年亩均评价结果未出，采用前一年结果）。</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2.企业资质。</w:t>
      </w:r>
      <w:r>
        <w:rPr>
          <w:rFonts w:hint="eastAsia" w:ascii="仿宋_GB2312" w:hAnsi="仿宋_GB2312" w:eastAsia="仿宋_GB2312" w:cs="仿宋_GB2312"/>
        </w:rPr>
        <w:t>取得国家</w:t>
      </w:r>
      <w:r>
        <w:rPr>
          <w:rFonts w:hint="eastAsia" w:ascii="仿宋_GB2312" w:hAnsi="仿宋_GB2312" w:eastAsia="仿宋_GB2312" w:cs="仿宋_GB2312"/>
          <w:lang w:eastAsia="zh-CN"/>
        </w:rPr>
        <w:t>、</w:t>
      </w:r>
      <w:r>
        <w:rPr>
          <w:rFonts w:hint="eastAsia" w:ascii="仿宋_GB2312" w:hAnsi="仿宋_GB2312" w:eastAsia="仿宋_GB2312" w:cs="仿宋_GB2312"/>
        </w:rPr>
        <w:t>省、市相关部门认定的高新技术企业、工程实验室、重点实验室、工程（技术）研究中心、重点企业研究院、企业技术中心、国家级或市级科技企业孵化器、技术创新示范企业、链主企业、“大优强”企业、单项冠军企业、隐形冠军企业、“专精特新”小巨人企业、</w:t>
      </w:r>
      <w:r>
        <w:rPr>
          <w:rFonts w:hint="eastAsia" w:ascii="仿宋_GB2312" w:hAnsi="仿宋_GB2312" w:eastAsia="仿宋_GB2312" w:cs="仿宋_GB2312"/>
          <w:lang w:val="zh-TW" w:eastAsia="zh-TW"/>
        </w:rPr>
        <w:t>创新型领军企业</w:t>
      </w:r>
      <w:r>
        <w:rPr>
          <w:rFonts w:hint="eastAsia" w:ascii="仿宋_GB2312" w:hAnsi="仿宋_GB2312" w:eastAsia="仿宋_GB2312" w:cs="仿宋_GB2312"/>
          <w:lang w:val="zh-TW"/>
        </w:rPr>
        <w:t>、</w:t>
      </w:r>
      <w:r>
        <w:rPr>
          <w:rFonts w:hint="eastAsia" w:ascii="仿宋_GB2312" w:hAnsi="仿宋_GB2312" w:eastAsia="仿宋_GB2312" w:cs="仿宋_GB2312"/>
        </w:rPr>
        <w:t>循环经济试点示范企业等资质</w:t>
      </w:r>
      <w:r>
        <w:rPr>
          <w:rFonts w:hint="eastAsia" w:ascii="仿宋_GB2312" w:hAnsi="仿宋_GB2312" w:eastAsia="仿宋_GB2312" w:cs="仿宋_GB2312"/>
          <w:lang w:eastAsia="zh-CN"/>
        </w:rPr>
        <w:t>，</w:t>
      </w:r>
      <w:r>
        <w:rPr>
          <w:rFonts w:hint="eastAsia" w:ascii="仿宋_GB2312" w:hAnsi="仿宋_GB2312" w:cs="仿宋_GB2312"/>
          <w:lang w:eastAsia="zh-CN"/>
        </w:rPr>
        <w:t>或</w:t>
      </w:r>
      <w:r>
        <w:rPr>
          <w:rFonts w:hint="eastAsia" w:ascii="仿宋_GB2312" w:hAnsi="仿宋_GB2312" w:eastAsia="仿宋_GB2312" w:cs="仿宋_GB2312"/>
          <w:lang w:eastAsia="zh-CN"/>
        </w:rPr>
        <w:t>被</w:t>
      </w:r>
      <w:r>
        <w:rPr>
          <w:rFonts w:hint="eastAsia" w:ascii="仿宋_GB2312" w:hAnsi="仿宋_GB2312" w:eastAsia="仿宋_GB2312" w:cs="仿宋_GB2312"/>
        </w:rPr>
        <w:t>列入市区</w:t>
      </w:r>
      <w:r>
        <w:rPr>
          <w:rFonts w:hint="eastAsia" w:ascii="仿宋_GB2312" w:hAnsi="仿宋_GB2312" w:eastAsia="仿宋_GB2312" w:cs="仿宋_GB2312"/>
          <w:lang w:eastAsia="zh-CN"/>
        </w:rPr>
        <w:t>（县、市）</w:t>
      </w:r>
      <w:r>
        <w:rPr>
          <w:rFonts w:hint="eastAsia" w:ascii="仿宋_GB2312" w:hAnsi="仿宋_GB2312" w:eastAsia="仿宋_GB2312" w:cs="仿宋_GB2312"/>
        </w:rPr>
        <w:t>两级培育库</w:t>
      </w:r>
      <w:r>
        <w:rPr>
          <w:rFonts w:hint="eastAsia" w:ascii="仿宋_GB2312" w:hAnsi="仿宋_GB2312" w:eastAsia="仿宋_GB2312" w:cs="仿宋_GB2312"/>
          <w:lang w:eastAsia="zh-CN"/>
        </w:rPr>
        <w:t>（白名单）的</w:t>
      </w:r>
      <w:r>
        <w:rPr>
          <w:rFonts w:hint="eastAsia" w:ascii="仿宋_GB2312" w:hAnsi="仿宋_GB2312" w:eastAsia="仿宋_GB2312" w:cs="仿宋_GB2312"/>
        </w:rPr>
        <w:t>企业。</w:t>
      </w:r>
    </w:p>
    <w:p>
      <w:pPr>
        <w:pStyle w:val="30"/>
        <w:keepNext w:val="0"/>
        <w:keepLines w:val="0"/>
        <w:pageBreakBefore w:val="0"/>
        <w:kinsoku/>
        <w:wordWrap/>
        <w:overflowPunct/>
        <w:topLinePunct w:val="0"/>
        <w:autoSpaceDE/>
        <w:bidi w:val="0"/>
        <w:adjustRightInd/>
        <w:snapToGrid/>
        <w:spacing w:line="580" w:lineRule="exact"/>
        <w:ind w:firstLine="643"/>
        <w:textAlignment w:val="auto"/>
      </w:pPr>
      <w:r>
        <w:rPr>
          <w:rFonts w:hint="eastAsia" w:ascii="仿宋_GB2312" w:hAnsi="仿宋_GB2312" w:eastAsia="仿宋_GB2312" w:cs="仿宋_GB2312"/>
          <w:b/>
        </w:rPr>
        <w:t>3.功能配套。</w:t>
      </w:r>
      <w:r>
        <w:rPr>
          <w:rFonts w:hint="eastAsia" w:ascii="仿宋_GB2312" w:hAnsi="仿宋_GB2312" w:eastAsia="仿宋_GB2312" w:cs="仿宋_GB2312"/>
        </w:rPr>
        <w:t>提供重要产业链配套、仓储物流、资源循环利用等的功能型企业。</w:t>
      </w:r>
    </w:p>
    <w:p>
      <w:pPr>
        <w:pStyle w:val="4"/>
        <w:keepNext w:val="0"/>
        <w:keepLines w:val="0"/>
        <w:pageBreakBefore w:val="0"/>
        <w:kinsoku/>
        <w:wordWrap/>
        <w:overflowPunct/>
        <w:topLinePunct w:val="0"/>
        <w:autoSpaceDE/>
        <w:bidi w:val="0"/>
        <w:adjustRightInd/>
        <w:snapToGrid/>
        <w:spacing w:line="580" w:lineRule="exact"/>
        <w:ind w:firstLine="602"/>
        <w:textAlignment w:val="auto"/>
        <w:rPr>
          <w:b w:val="0"/>
          <w:bCs w:val="0"/>
        </w:rPr>
      </w:pPr>
      <w:r>
        <w:rPr>
          <w:rFonts w:hint="eastAsia"/>
          <w:b w:val="0"/>
          <w:bCs w:val="0"/>
        </w:rPr>
        <w:t>（三）</w:t>
      </w:r>
      <w:r>
        <w:rPr>
          <w:rFonts w:hint="eastAsia"/>
          <w:b w:val="0"/>
          <w:bCs w:val="0"/>
          <w:lang w:eastAsia="zh-CN"/>
        </w:rPr>
        <w:t>项目</w:t>
      </w:r>
      <w:r>
        <w:rPr>
          <w:rFonts w:hint="eastAsia"/>
          <w:b w:val="0"/>
          <w:bCs w:val="0"/>
        </w:rPr>
        <w:t>标准</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1.产业项目类。</w:t>
      </w:r>
      <w:r>
        <w:rPr>
          <w:rFonts w:hint="eastAsia" w:ascii="仿宋_GB2312" w:hAnsi="仿宋_GB2312" w:eastAsia="仿宋_GB2312" w:cs="仿宋_GB2312"/>
        </w:rPr>
        <w:t>产业项目实施“零增地”技术改造，能够显著提升产业能级、有效降低环保风险和能耗水平、对稳增长起到积极作用的，或改扩建后</w:t>
      </w:r>
      <w:r>
        <w:rPr>
          <w:rFonts w:hint="eastAsia" w:ascii="仿宋_GB2312" w:hAnsi="仿宋_GB2312" w:cs="仿宋_GB2312"/>
          <w:lang w:eastAsia="zh-CN"/>
        </w:rPr>
        <w:t>亩均税收</w:t>
      </w:r>
      <w:r>
        <w:rPr>
          <w:rFonts w:hint="eastAsia" w:ascii="仿宋_GB2312" w:hAnsi="仿宋_GB2312" w:eastAsia="仿宋_GB2312" w:cs="仿宋_GB2312"/>
        </w:rPr>
        <w:t>达到所在区</w:t>
      </w:r>
      <w:r>
        <w:rPr>
          <w:rFonts w:hint="eastAsia" w:ascii="仿宋_GB2312" w:hAnsi="仿宋_GB2312" w:cs="仿宋_GB2312"/>
          <w:lang w:eastAsia="zh-CN"/>
        </w:rPr>
        <w:t>亩均税收</w:t>
      </w:r>
      <w:r>
        <w:rPr>
          <w:rFonts w:hint="eastAsia" w:ascii="仿宋_GB2312" w:hAnsi="仿宋_GB2312" w:eastAsia="仿宋_GB2312" w:cs="仿宋_GB2312"/>
        </w:rPr>
        <w:t>的70%以上。</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2.</w:t>
      </w:r>
      <w:r>
        <w:rPr>
          <w:rFonts w:hint="eastAsia" w:ascii="仿宋_GB2312" w:hAnsi="仿宋_GB2312" w:cs="仿宋_GB2312"/>
          <w:b/>
          <w:lang w:eastAsia="zh-CN"/>
        </w:rPr>
        <w:t>提容项目</w:t>
      </w:r>
      <w:r>
        <w:rPr>
          <w:rFonts w:hint="eastAsia" w:ascii="仿宋_GB2312" w:hAnsi="仿宋_GB2312" w:eastAsia="仿宋_GB2312" w:cs="仿宋_GB2312"/>
          <w:b/>
        </w:rPr>
        <w:t>类。</w:t>
      </w:r>
      <w:r>
        <w:rPr>
          <w:rFonts w:hint="eastAsia" w:ascii="仿宋_GB2312" w:hAnsi="仿宋_GB2312" w:cs="仿宋_GB2312"/>
          <w:b w:val="0"/>
          <w:bCs/>
          <w:lang w:eastAsia="zh-CN"/>
        </w:rPr>
        <w:t>提容项目（包括且不限于单个工业企业、老旧工业区、标准厂房、小微企业园、工业集聚点等提容改造项目）实施</w:t>
      </w:r>
      <w:r>
        <w:rPr>
          <w:rFonts w:hint="eastAsia" w:ascii="仿宋_GB2312" w:hAnsi="仿宋_GB2312" w:eastAsia="仿宋_GB2312" w:cs="仿宋_GB2312"/>
        </w:rPr>
        <w:t>“零增地”技术改造</w:t>
      </w:r>
      <w:r>
        <w:rPr>
          <w:rFonts w:hint="eastAsia" w:ascii="仿宋_GB2312" w:hAnsi="仿宋_GB2312" w:cs="仿宋_GB2312"/>
          <w:lang w:eastAsia="zh-CN"/>
        </w:rPr>
        <w:t>后，容积率原则上达到</w:t>
      </w:r>
      <w:r>
        <w:rPr>
          <w:rFonts w:hint="eastAsia" w:ascii="仿宋_GB2312" w:hAnsi="仿宋_GB2312" w:cs="仿宋_GB2312"/>
          <w:lang w:val="en-US" w:eastAsia="zh-CN"/>
        </w:rPr>
        <w:t>2.0（含）以上</w:t>
      </w:r>
      <w:r>
        <w:rPr>
          <w:rFonts w:hint="eastAsia" w:ascii="仿宋_GB2312" w:hAnsi="仿宋_GB2312" w:eastAsia="仿宋_GB2312" w:cs="仿宋_GB2312"/>
        </w:rPr>
        <w:t>，</w:t>
      </w:r>
      <w:r>
        <w:rPr>
          <w:rFonts w:hint="eastAsia" w:ascii="仿宋_GB2312" w:hAnsi="仿宋_GB2312" w:cs="仿宋_GB2312"/>
          <w:lang w:eastAsia="zh-CN"/>
        </w:rPr>
        <w:t>亩均税收超过</w:t>
      </w:r>
      <w:r>
        <w:rPr>
          <w:rFonts w:hint="eastAsia" w:ascii="仿宋_GB2312" w:hAnsi="仿宋_GB2312" w:cs="仿宋_GB2312"/>
          <w:lang w:val="en-US" w:eastAsia="zh-CN"/>
        </w:rPr>
        <w:t>30万元/亩且</w:t>
      </w:r>
      <w:r>
        <w:rPr>
          <w:rFonts w:hint="eastAsia" w:ascii="仿宋_GB2312" w:hAnsi="仿宋_GB2312" w:eastAsia="仿宋_GB2312" w:cs="仿宋_GB2312"/>
        </w:rPr>
        <w:t>应</w:t>
      </w:r>
      <w:r>
        <w:rPr>
          <w:rFonts w:hint="eastAsia" w:ascii="仿宋_GB2312" w:hAnsi="仿宋_GB2312" w:cs="仿宋_GB2312"/>
          <w:lang w:eastAsia="zh-CN"/>
        </w:rPr>
        <w:t>同时</w:t>
      </w:r>
      <w:r>
        <w:rPr>
          <w:rFonts w:hint="eastAsia" w:ascii="仿宋_GB2312" w:hAnsi="仿宋_GB2312" w:eastAsia="仿宋_GB2312" w:cs="仿宋_GB2312"/>
        </w:rPr>
        <w:t>达到所在区</w:t>
      </w:r>
      <w:r>
        <w:rPr>
          <w:rFonts w:hint="eastAsia" w:ascii="仿宋_GB2312" w:hAnsi="仿宋_GB2312" w:cs="仿宋_GB2312"/>
          <w:lang w:eastAsia="zh-CN"/>
        </w:rPr>
        <w:t>亩均税收</w:t>
      </w:r>
      <w:r>
        <w:rPr>
          <w:rFonts w:hint="eastAsia" w:ascii="仿宋_GB2312" w:hAnsi="仿宋_GB2312" w:cs="仿宋_GB2312"/>
          <w:lang w:val="en-US" w:eastAsia="zh-CN"/>
        </w:rPr>
        <w:t>（镇海、奉化的亩均税收不含炼化和烟厂）</w:t>
      </w:r>
      <w:r>
        <w:rPr>
          <w:rFonts w:hint="eastAsia" w:ascii="仿宋_GB2312" w:hAnsi="仿宋_GB2312" w:eastAsia="仿宋_GB2312" w:cs="仿宋_GB2312"/>
        </w:rPr>
        <w:t>。各区</w:t>
      </w:r>
      <w:r>
        <w:rPr>
          <w:rFonts w:hint="eastAsia" w:ascii="仿宋_GB2312" w:hAnsi="仿宋_GB2312" w:cs="仿宋_GB2312"/>
          <w:lang w:eastAsia="zh-CN"/>
        </w:rPr>
        <w:t>（县、市）</w:t>
      </w:r>
      <w:r>
        <w:rPr>
          <w:rFonts w:hint="eastAsia" w:ascii="仿宋_GB2312" w:hAnsi="仿宋_GB2312" w:eastAsia="仿宋_GB2312" w:cs="仿宋_GB2312"/>
        </w:rPr>
        <w:t>应在开发主体、产业功能定位、物业自持要求、投入产出效率、入驻企业等方面细化工作标准，加强企业全生命周期管理。</w:t>
      </w:r>
    </w:p>
    <w:p>
      <w:pPr>
        <w:pStyle w:val="4"/>
        <w:keepNext w:val="0"/>
        <w:keepLines w:val="0"/>
        <w:pageBreakBefore w:val="0"/>
        <w:kinsoku/>
        <w:wordWrap/>
        <w:overflowPunct/>
        <w:topLinePunct w:val="0"/>
        <w:autoSpaceDE/>
        <w:bidi w:val="0"/>
        <w:adjustRightInd/>
        <w:snapToGrid/>
        <w:spacing w:line="580" w:lineRule="exact"/>
        <w:ind w:firstLine="602"/>
        <w:textAlignment w:val="auto"/>
        <w:rPr>
          <w:b w:val="0"/>
          <w:bCs w:val="0"/>
        </w:rPr>
      </w:pPr>
      <w:r>
        <w:rPr>
          <w:rFonts w:hint="eastAsia"/>
          <w:b w:val="0"/>
          <w:bCs w:val="0"/>
        </w:rPr>
        <w:t>（四）绿色发展标准</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1.环境保护。</w:t>
      </w:r>
      <w:r>
        <w:rPr>
          <w:rFonts w:hint="eastAsia" w:ascii="仿宋_GB2312" w:hAnsi="仿宋_GB2312" w:eastAsia="仿宋_GB2312" w:cs="仿宋_GB2312"/>
        </w:rPr>
        <w:t>企业符合环境保护相关要求，环保相关手续齐全，无重大环境信访矛盾；企业所在区域基础设施齐全，具备污水纳管条件，三年内无重大环境安全问题；企业清洁生产措施到位，污染防治技术符合国家和本市相关标准。</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2.规划相容。</w:t>
      </w:r>
      <w:r>
        <w:rPr>
          <w:rFonts w:hint="eastAsia" w:ascii="仿宋_GB2312" w:hAnsi="仿宋_GB2312" w:eastAsia="仿宋_GB2312" w:cs="仿宋_GB2312"/>
        </w:rPr>
        <w:t>企业所在区域未列入近中期城市规划实施计划和产业结构调整范围。</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3.能源消耗。</w:t>
      </w:r>
      <w:r>
        <w:rPr>
          <w:rFonts w:hint="eastAsia" w:ascii="仿宋_GB2312" w:hAnsi="仿宋_GB2312" w:eastAsia="仿宋_GB2312" w:cs="仿宋_GB2312"/>
        </w:rPr>
        <w:t>企业上一年度主要产品单位能耗符合国家和本市限额标准。完成市政府相关部门或区县政府下达的节能目标和能源消费总量控制目标。</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4.安全生产。</w:t>
      </w:r>
      <w:r>
        <w:rPr>
          <w:rFonts w:hint="eastAsia" w:ascii="仿宋_GB2312" w:hAnsi="仿宋_GB2312" w:eastAsia="仿宋_GB2312" w:cs="仿宋_GB2312"/>
        </w:rPr>
        <w:t>企业近三年内无</w:t>
      </w:r>
      <w:r>
        <w:rPr>
          <w:rFonts w:hint="eastAsia" w:ascii="仿宋_GB2312" w:hAnsi="仿宋_GB2312" w:cs="仿宋_GB2312"/>
          <w:lang w:eastAsia="zh-CN"/>
        </w:rPr>
        <w:t>重大</w:t>
      </w:r>
      <w:r>
        <w:rPr>
          <w:rFonts w:hint="eastAsia" w:ascii="仿宋_GB2312" w:hAnsi="仿宋_GB2312" w:eastAsia="仿宋_GB2312" w:cs="仿宋_GB2312"/>
        </w:rPr>
        <w:t>安全生产事故。</w:t>
      </w:r>
    </w:p>
    <w:p>
      <w:pPr>
        <w:pStyle w:val="4"/>
        <w:keepNext w:val="0"/>
        <w:keepLines w:val="0"/>
        <w:pageBreakBefore w:val="0"/>
        <w:kinsoku/>
        <w:wordWrap/>
        <w:overflowPunct/>
        <w:topLinePunct w:val="0"/>
        <w:autoSpaceDE/>
        <w:bidi w:val="0"/>
        <w:adjustRightInd/>
        <w:snapToGrid/>
        <w:spacing w:line="580" w:lineRule="exact"/>
        <w:ind w:firstLine="602"/>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（五）诚信经营标准</w:t>
      </w:r>
    </w:p>
    <w:p>
      <w:pPr>
        <w:pStyle w:val="30"/>
        <w:keepNext w:val="0"/>
        <w:keepLines w:val="0"/>
        <w:pageBreakBefore w:val="0"/>
        <w:kinsoku/>
        <w:wordWrap/>
        <w:overflowPunct/>
        <w:topLinePunct w:val="0"/>
        <w:autoSpaceDE/>
        <w:bidi w:val="0"/>
        <w:adjustRightInd/>
        <w:snapToGrid/>
        <w:spacing w:line="580" w:lineRule="exact"/>
        <w:ind w:firstLine="640"/>
        <w:textAlignment w:val="auto"/>
      </w:pPr>
      <w:r>
        <w:rPr>
          <w:rFonts w:hint="eastAsia"/>
        </w:rPr>
        <w:t>诚实守信、合法经营，近三年内无重大违法记录以及严重失信记录。</w:t>
      </w:r>
    </w:p>
    <w:p>
      <w:pPr>
        <w:pStyle w:val="3"/>
        <w:keepNext w:val="0"/>
        <w:keepLines w:val="0"/>
        <w:pageBreakBefore w:val="0"/>
        <w:kinsoku/>
        <w:wordWrap/>
        <w:overflowPunct/>
        <w:topLinePunct w:val="0"/>
        <w:autoSpaceDE/>
        <w:bidi w:val="0"/>
        <w:adjustRightInd/>
        <w:snapToGrid/>
        <w:spacing w:line="580" w:lineRule="exact"/>
        <w:ind w:firstLine="643"/>
        <w:textAlignment w:val="auto"/>
        <w:rPr>
          <w:rFonts w:hint="eastAsia" w:ascii="方正黑体_GBK" w:hAnsi="方正黑体_GBK" w:eastAsia="方正黑体_GBK" w:cs="方正黑体_GBK"/>
          <w:b w:val="0"/>
          <w:bCs w:val="0"/>
          <w:lang w:eastAsia="zh-CN"/>
        </w:rPr>
      </w:pPr>
      <w:r>
        <w:rPr>
          <w:rFonts w:hint="eastAsia" w:ascii="方正黑体_GBK" w:hAnsi="方正黑体_GBK" w:eastAsia="方正黑体_GBK" w:cs="方正黑体_GBK"/>
          <w:b w:val="0"/>
          <w:bCs w:val="0"/>
        </w:rPr>
        <w:t>三、负面清单</w:t>
      </w:r>
      <w:r>
        <w:rPr>
          <w:rFonts w:hint="eastAsia" w:ascii="方正黑体_GBK" w:hAnsi="方正黑体_GBK" w:eastAsia="方正黑体_GBK" w:cs="方正黑体_GBK"/>
          <w:b w:val="0"/>
          <w:bCs w:val="0"/>
          <w:lang w:eastAsia="zh-CN"/>
        </w:rPr>
        <w:t>（符合五项标准中的一项即可）</w:t>
      </w:r>
    </w:p>
    <w:p>
      <w:pPr>
        <w:pStyle w:val="4"/>
        <w:keepNext w:val="0"/>
        <w:keepLines w:val="0"/>
        <w:pageBreakBefore w:val="0"/>
        <w:kinsoku/>
        <w:wordWrap/>
        <w:overflowPunct/>
        <w:topLinePunct w:val="0"/>
        <w:autoSpaceDE/>
        <w:bidi w:val="0"/>
        <w:adjustRightInd/>
        <w:snapToGrid/>
        <w:spacing w:line="580" w:lineRule="exact"/>
        <w:ind w:firstLine="602"/>
        <w:textAlignment w:val="auto"/>
      </w:pPr>
      <w:r>
        <w:rPr>
          <w:rFonts w:hint="eastAsia"/>
        </w:rPr>
        <w:t>（一）规划要求</w:t>
      </w:r>
    </w:p>
    <w:p>
      <w:pPr>
        <w:pStyle w:val="30"/>
        <w:keepNext w:val="0"/>
        <w:keepLines w:val="0"/>
        <w:pageBreakBefore w:val="0"/>
        <w:kinsoku/>
        <w:wordWrap/>
        <w:overflowPunct/>
        <w:topLinePunct w:val="0"/>
        <w:autoSpaceDE/>
        <w:bidi w:val="0"/>
        <w:adjustRightInd/>
        <w:snapToGrid/>
        <w:spacing w:line="580" w:lineRule="exact"/>
        <w:ind w:firstLine="640"/>
        <w:textAlignment w:val="auto"/>
      </w:pPr>
      <w:r>
        <w:rPr>
          <w:rFonts w:hint="eastAsia"/>
        </w:rPr>
        <w:t>改扩建项目不能与</w:t>
      </w:r>
      <w:r>
        <w:rPr>
          <w:rFonts w:hint="eastAsia"/>
          <w:lang w:eastAsia="zh-CN"/>
        </w:rPr>
        <w:t>市、所在区（县、市）的</w:t>
      </w:r>
      <w:r>
        <w:rPr>
          <w:rFonts w:hint="eastAsia"/>
        </w:rPr>
        <w:t>近中期规划实施方案相冲突。位于城市重点建设区域、规划生态红线或公共绿地范围、土地储备计划和减量复垦计划覆盖区域的，不予支持。</w:t>
      </w:r>
    </w:p>
    <w:p>
      <w:pPr>
        <w:pStyle w:val="4"/>
        <w:keepNext w:val="0"/>
        <w:keepLines w:val="0"/>
        <w:pageBreakBefore w:val="0"/>
        <w:kinsoku/>
        <w:wordWrap/>
        <w:overflowPunct/>
        <w:topLinePunct w:val="0"/>
        <w:autoSpaceDE/>
        <w:bidi w:val="0"/>
        <w:adjustRightInd/>
        <w:snapToGrid/>
        <w:spacing w:line="580" w:lineRule="exact"/>
        <w:ind w:firstLine="602"/>
        <w:textAlignment w:val="auto"/>
      </w:pPr>
      <w:r>
        <w:rPr>
          <w:rFonts w:hint="eastAsia"/>
        </w:rPr>
        <w:t>（二）产业要求</w:t>
      </w:r>
    </w:p>
    <w:p>
      <w:pPr>
        <w:pStyle w:val="30"/>
        <w:keepNext w:val="0"/>
        <w:keepLines w:val="0"/>
        <w:pageBreakBefore w:val="0"/>
        <w:kinsoku/>
        <w:wordWrap/>
        <w:overflowPunct/>
        <w:topLinePunct w:val="0"/>
        <w:autoSpaceDE/>
        <w:bidi w:val="0"/>
        <w:adjustRightInd/>
        <w:snapToGrid/>
        <w:spacing w:line="580" w:lineRule="exact"/>
        <w:ind w:firstLine="640"/>
        <w:textAlignment w:val="auto"/>
      </w:pPr>
      <w:r>
        <w:rPr>
          <w:rFonts w:hint="eastAsia"/>
        </w:rPr>
        <w:t>国家发改委《产业结构调整指导目录》规定的“限制类”和“淘汰类”产业项目以及</w:t>
      </w:r>
      <w:r>
        <w:rPr>
          <w:rFonts w:hint="eastAsia"/>
          <w:lang w:eastAsia="zh-CN"/>
        </w:rPr>
        <w:t>本市、所在区（县、市）</w:t>
      </w:r>
      <w:r>
        <w:rPr>
          <w:rFonts w:hint="eastAsia"/>
        </w:rPr>
        <w:t>发文明确的工业领域准入范围之外的产业项目，不予支持。</w:t>
      </w:r>
    </w:p>
    <w:p>
      <w:pPr>
        <w:pStyle w:val="4"/>
        <w:keepNext w:val="0"/>
        <w:keepLines w:val="0"/>
        <w:pageBreakBefore w:val="0"/>
        <w:kinsoku/>
        <w:wordWrap/>
        <w:overflowPunct/>
        <w:topLinePunct w:val="0"/>
        <w:autoSpaceDE/>
        <w:bidi w:val="0"/>
        <w:adjustRightInd/>
        <w:snapToGrid/>
        <w:spacing w:line="580" w:lineRule="exact"/>
        <w:ind w:firstLine="602"/>
        <w:textAlignment w:val="auto"/>
      </w:pPr>
      <w:r>
        <w:rPr>
          <w:rFonts w:hint="eastAsia"/>
        </w:rPr>
        <w:t>（三）</w:t>
      </w:r>
      <w:r>
        <w:rPr>
          <w:rFonts w:hint="eastAsia"/>
          <w:lang w:eastAsia="zh-CN"/>
        </w:rPr>
        <w:t>企业</w:t>
      </w:r>
      <w:r>
        <w:rPr>
          <w:rFonts w:hint="eastAsia"/>
        </w:rPr>
        <w:t>要求</w:t>
      </w:r>
    </w:p>
    <w:p>
      <w:pPr>
        <w:pStyle w:val="30"/>
        <w:keepNext w:val="0"/>
        <w:keepLines w:val="0"/>
        <w:pageBreakBefore w:val="0"/>
        <w:kinsoku/>
        <w:wordWrap/>
        <w:overflowPunct/>
        <w:topLinePunct w:val="0"/>
        <w:autoSpaceDE/>
        <w:bidi w:val="0"/>
        <w:adjustRightInd/>
        <w:snapToGrid/>
        <w:spacing w:line="58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企业在申报年度之前连续两年的</w:t>
      </w:r>
      <w:r>
        <w:rPr>
          <w:rFonts w:hint="eastAsia" w:ascii="仿宋_GB2312" w:hAnsi="仿宋_GB2312" w:eastAsia="仿宋_GB2312" w:cs="仿宋_GB2312"/>
          <w:lang w:eastAsia="zh-CN"/>
        </w:rPr>
        <w:t>亩均税收</w:t>
      </w:r>
      <w:r>
        <w:rPr>
          <w:rFonts w:hint="eastAsia" w:ascii="仿宋_GB2312" w:hAnsi="仿宋_GB2312" w:eastAsia="仿宋_GB2312" w:cs="仿宋_GB2312"/>
        </w:rPr>
        <w:t>均低于</w:t>
      </w:r>
      <w:r>
        <w:rPr>
          <w:rFonts w:hint="eastAsia" w:ascii="仿宋_GB2312" w:hAnsi="仿宋_GB2312" w:eastAsia="仿宋_GB2312" w:cs="仿宋_GB2312"/>
          <w:lang w:eastAsia="zh-CN"/>
        </w:rPr>
        <w:t>《</w:t>
      </w:r>
      <w:r>
        <w:rPr>
          <w:rFonts w:hint="eastAsia" w:ascii="仿宋_GB2312" w:hAnsi="仿宋_GB2312" w:eastAsia="仿宋_GB2312" w:cs="仿宋_GB2312"/>
        </w:rPr>
        <w:t>宁波</w:t>
      </w:r>
      <w:r>
        <w:rPr>
          <w:rFonts w:hint="eastAsia" w:ascii="仿宋_GB2312" w:hAnsi="仿宋_GB2312" w:eastAsia="仿宋_GB2312" w:cs="仿宋_GB2312"/>
          <w:lang w:eastAsia="zh-CN"/>
        </w:rPr>
        <w:t>市</w:t>
      </w:r>
      <w:r>
        <w:rPr>
          <w:rFonts w:hint="eastAsia" w:ascii="仿宋_GB2312" w:hAnsi="仿宋_GB2312" w:eastAsia="仿宋_GB2312" w:cs="仿宋_GB2312"/>
        </w:rPr>
        <w:t>产业用地指南</w:t>
      </w:r>
      <w:r>
        <w:rPr>
          <w:rFonts w:hint="eastAsia" w:ascii="仿宋_GB2312" w:hAnsi="仿宋_GB2312" w:eastAsia="仿宋_GB2312" w:cs="仿宋_GB2312"/>
          <w:lang w:eastAsia="zh-CN"/>
        </w:rPr>
        <w:t>》</w:t>
      </w:r>
      <w:r>
        <w:rPr>
          <w:rFonts w:hint="eastAsia" w:ascii="仿宋_GB2312" w:hAnsi="仿宋_GB2312" w:cs="仿宋_GB2312"/>
          <w:lang w:eastAsia="zh-CN"/>
        </w:rPr>
        <w:t>准入</w:t>
      </w:r>
      <w:r>
        <w:rPr>
          <w:rFonts w:hint="eastAsia" w:ascii="仿宋_GB2312" w:hAnsi="仿宋_GB2312" w:eastAsia="仿宋_GB2312" w:cs="仿宋_GB2312"/>
        </w:rPr>
        <w:t>值的，不予支持。</w:t>
      </w:r>
      <w:r>
        <w:rPr>
          <w:rFonts w:hint="eastAsia" w:ascii="仿宋_GB2312" w:hAnsi="仿宋_GB2312" w:eastAsia="仿宋_GB2312" w:cs="仿宋_GB2312"/>
          <w:lang w:eastAsia="zh-CN"/>
        </w:rPr>
        <w:t>“</w:t>
      </w:r>
      <w:r>
        <w:rPr>
          <w:rFonts w:hint="eastAsia" w:ascii="仿宋_GB2312" w:hAnsi="仿宋_GB2312" w:eastAsia="仿宋_GB2312" w:cs="仿宋_GB2312"/>
        </w:rPr>
        <w:t>亩均</w:t>
      </w:r>
      <w:r>
        <w:rPr>
          <w:rFonts w:hint="eastAsia" w:ascii="仿宋_GB2312" w:hAnsi="仿宋_GB2312" w:eastAsia="仿宋_GB2312" w:cs="仿宋_GB2312"/>
          <w:lang w:eastAsia="zh-CN"/>
        </w:rPr>
        <w:t>论英雄”</w:t>
      </w:r>
      <w:r>
        <w:rPr>
          <w:rFonts w:hint="eastAsia" w:ascii="仿宋_GB2312" w:hAnsi="仿宋_GB2312" w:eastAsia="仿宋_GB2312" w:cs="仿宋_GB2312"/>
        </w:rPr>
        <w:t>评价连续两年</w:t>
      </w:r>
      <w:r>
        <w:rPr>
          <w:rFonts w:hint="eastAsia" w:ascii="仿宋_GB2312" w:hAnsi="仿宋_GB2312" w:cs="仿宋_GB2312"/>
          <w:lang w:eastAsia="zh-CN"/>
        </w:rPr>
        <w:t>被评为</w:t>
      </w:r>
      <w:r>
        <w:rPr>
          <w:rFonts w:hint="eastAsia" w:ascii="仿宋_GB2312" w:hAnsi="仿宋_GB2312" w:eastAsia="仿宋_GB2312" w:cs="仿宋_GB2312"/>
        </w:rPr>
        <w:t>D档</w:t>
      </w:r>
      <w:r>
        <w:rPr>
          <w:rFonts w:hint="eastAsia" w:ascii="仿宋_GB2312" w:hAnsi="仿宋_GB2312" w:cs="仿宋_GB2312"/>
          <w:lang w:eastAsia="zh-CN"/>
        </w:rPr>
        <w:t>（或登记占地</w:t>
      </w:r>
      <w:r>
        <w:rPr>
          <w:rFonts w:hint="eastAsia" w:ascii="仿宋_GB2312" w:hAnsi="仿宋_GB2312" w:cs="仿宋_GB2312"/>
          <w:lang w:val="en-US" w:eastAsia="zh-CN"/>
        </w:rPr>
        <w:t>3亩以上、连续两年没有评价结果）</w:t>
      </w:r>
      <w:r>
        <w:rPr>
          <w:rFonts w:hint="eastAsia" w:ascii="仿宋_GB2312" w:hAnsi="仿宋_GB2312" w:eastAsia="仿宋_GB2312" w:cs="仿宋_GB2312"/>
        </w:rPr>
        <w:t>的，不予支持。各</w:t>
      </w:r>
      <w:r>
        <w:rPr>
          <w:rFonts w:hint="eastAsia" w:ascii="仿宋_GB2312" w:hAnsi="仿宋_GB2312" w:eastAsia="仿宋_GB2312" w:cs="仿宋_GB2312"/>
          <w:lang w:eastAsia="zh-CN"/>
        </w:rPr>
        <w:t>区（县、市）</w:t>
      </w:r>
      <w:r>
        <w:rPr>
          <w:rFonts w:hint="eastAsia" w:ascii="仿宋_GB2312" w:hAnsi="仿宋_GB2312" w:eastAsia="仿宋_GB2312" w:cs="仿宋_GB2312"/>
        </w:rPr>
        <w:t>可制定本地具体标准。对科技型成长型企业，科技创新和产品质量获得国际、国家和本市资质认证的，经区（县、市）政府评估，可以适当放宽</w:t>
      </w:r>
      <w:r>
        <w:rPr>
          <w:rFonts w:hint="eastAsia" w:ascii="仿宋_GB2312" w:hAnsi="仿宋_GB2312" w:eastAsia="仿宋_GB2312" w:cs="仿宋_GB2312"/>
          <w:lang w:eastAsia="zh-CN"/>
        </w:rPr>
        <w:t>产出</w:t>
      </w:r>
      <w:r>
        <w:rPr>
          <w:rFonts w:hint="eastAsia" w:ascii="仿宋_GB2312" w:hAnsi="仿宋_GB2312" w:eastAsia="仿宋_GB2312" w:cs="仿宋_GB2312"/>
        </w:rPr>
        <w:t>要求。</w:t>
      </w:r>
    </w:p>
    <w:p>
      <w:pPr>
        <w:pStyle w:val="4"/>
        <w:keepNext w:val="0"/>
        <w:keepLines w:val="0"/>
        <w:pageBreakBefore w:val="0"/>
        <w:kinsoku/>
        <w:wordWrap/>
        <w:overflowPunct/>
        <w:topLinePunct w:val="0"/>
        <w:autoSpaceDE/>
        <w:bidi w:val="0"/>
        <w:adjustRightInd/>
        <w:snapToGrid/>
        <w:spacing w:line="580" w:lineRule="exact"/>
        <w:ind w:firstLine="602"/>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（四）诚信要求</w:t>
      </w:r>
    </w:p>
    <w:p>
      <w:pPr>
        <w:pStyle w:val="30"/>
        <w:keepNext w:val="0"/>
        <w:keepLines w:val="0"/>
        <w:pageBreakBefore w:val="0"/>
        <w:kinsoku/>
        <w:wordWrap/>
        <w:overflowPunct/>
        <w:topLinePunct w:val="0"/>
        <w:autoSpaceDE/>
        <w:bidi w:val="0"/>
        <w:adjustRightInd/>
        <w:snapToGrid/>
        <w:spacing w:line="580" w:lineRule="exact"/>
        <w:ind w:firstLine="640"/>
        <w:textAlignment w:val="auto"/>
      </w:pPr>
      <w:r>
        <w:rPr>
          <w:rFonts w:hint="eastAsia"/>
        </w:rPr>
        <w:t>企业近三年内存在重大违法记录以及严重失信记录。</w:t>
      </w:r>
    </w:p>
    <w:p>
      <w:pPr>
        <w:pStyle w:val="4"/>
        <w:keepNext w:val="0"/>
        <w:keepLines w:val="0"/>
        <w:pageBreakBefore w:val="0"/>
        <w:kinsoku/>
        <w:wordWrap/>
        <w:overflowPunct/>
        <w:topLinePunct w:val="0"/>
        <w:autoSpaceDE/>
        <w:bidi w:val="0"/>
        <w:adjustRightInd/>
        <w:snapToGrid/>
        <w:spacing w:line="580" w:lineRule="exact"/>
        <w:ind w:firstLine="602"/>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rPr>
        <w:t>（五）环保及安全要求</w:t>
      </w:r>
    </w:p>
    <w:p>
      <w:pPr>
        <w:pStyle w:val="30"/>
        <w:keepNext w:val="0"/>
        <w:keepLines w:val="0"/>
        <w:pageBreakBefore w:val="0"/>
        <w:kinsoku/>
        <w:wordWrap/>
        <w:overflowPunct/>
        <w:topLinePunct w:val="0"/>
        <w:autoSpaceDE/>
        <w:bidi w:val="0"/>
        <w:adjustRightInd/>
        <w:snapToGrid/>
        <w:spacing w:line="580" w:lineRule="exact"/>
        <w:ind w:firstLine="640"/>
        <w:textAlignment w:val="auto"/>
      </w:pPr>
      <w:r>
        <w:rPr>
          <w:rFonts w:hint="eastAsia"/>
        </w:rPr>
        <w:t>涉及环保、安监、能耗重大风险，</w:t>
      </w:r>
      <w:r>
        <w:rPr>
          <w:rFonts w:hint="eastAsia"/>
          <w:lang w:eastAsia="zh-CN"/>
        </w:rPr>
        <w:t>或</w:t>
      </w:r>
      <w:r>
        <w:rPr>
          <w:rFonts w:hint="eastAsia"/>
        </w:rPr>
        <w:t>整改后不</w:t>
      </w:r>
      <w:r>
        <w:rPr>
          <w:rFonts w:hint="eastAsia"/>
          <w:lang w:eastAsia="zh-CN"/>
        </w:rPr>
        <w:t>（能）</w:t>
      </w:r>
      <w:r>
        <w:rPr>
          <w:rFonts w:hint="eastAsia"/>
        </w:rPr>
        <w:t>达标</w:t>
      </w:r>
      <w:r>
        <w:rPr>
          <w:rFonts w:hint="eastAsia"/>
          <w:lang w:eastAsia="zh-CN"/>
        </w:rPr>
        <w:t>，</w:t>
      </w:r>
      <w:r>
        <w:rPr>
          <w:rFonts w:hint="eastAsia"/>
        </w:rPr>
        <w:t>或拒不整改的，不予支持。</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1.环境影响大。</w:t>
      </w:r>
      <w:r>
        <w:rPr>
          <w:rFonts w:hint="eastAsia" w:ascii="仿宋_GB2312" w:hAnsi="仿宋_GB2312" w:eastAsia="仿宋_GB2312" w:cs="仿宋_GB2312"/>
        </w:rPr>
        <w:t>不符合环境保护相关法律法规的要求，受到环境保护行政处罚且造成一定后果的。</w:t>
      </w:r>
    </w:p>
    <w:p>
      <w:pPr>
        <w:pStyle w:val="30"/>
        <w:keepNext w:val="0"/>
        <w:keepLines w:val="0"/>
        <w:pageBreakBefore w:val="0"/>
        <w:kinsoku/>
        <w:wordWrap/>
        <w:overflowPunct/>
        <w:topLinePunct w:val="0"/>
        <w:autoSpaceDE/>
        <w:bidi w:val="0"/>
        <w:adjustRightInd/>
        <w:snapToGrid/>
        <w:spacing w:line="58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2.存在安全生产隐患。</w:t>
      </w:r>
      <w:r>
        <w:rPr>
          <w:rFonts w:hint="eastAsia" w:ascii="仿宋_GB2312" w:hAnsi="仿宋_GB2312" w:eastAsia="仿宋_GB2312" w:cs="仿宋_GB2312"/>
        </w:rPr>
        <w:t>企业近三年内发生</w:t>
      </w:r>
      <w:r>
        <w:rPr>
          <w:rFonts w:hint="eastAsia" w:ascii="仿宋_GB2312" w:hAnsi="仿宋_GB2312" w:cs="仿宋_GB2312"/>
          <w:lang w:eastAsia="zh-CN"/>
        </w:rPr>
        <w:t>重大</w:t>
      </w:r>
      <w:r>
        <w:rPr>
          <w:rFonts w:hint="eastAsia" w:ascii="仿宋_GB2312" w:hAnsi="仿宋_GB2312" w:eastAsia="仿宋_GB2312" w:cs="仿宋_GB2312"/>
        </w:rPr>
        <w:t>安全生产事故。</w:t>
      </w:r>
    </w:p>
    <w:p>
      <w:pPr>
        <w:pStyle w:val="3"/>
        <w:keepNext w:val="0"/>
        <w:keepLines w:val="0"/>
        <w:pageBreakBefore w:val="0"/>
        <w:kinsoku/>
        <w:wordWrap/>
        <w:overflowPunct/>
        <w:topLinePunct w:val="0"/>
        <w:autoSpaceDE/>
        <w:bidi w:val="0"/>
        <w:adjustRightInd/>
        <w:snapToGrid/>
        <w:spacing w:line="580" w:lineRule="exact"/>
        <w:ind w:firstLine="643"/>
        <w:textAlignment w:val="auto"/>
        <w:rPr>
          <w:rFonts w:hint="eastAsia" w:ascii="方正黑体_GBK" w:hAnsi="方正黑体_GBK" w:eastAsia="方正黑体_GBK" w:cs="方正黑体_GBK"/>
          <w:b w:val="0"/>
          <w:bCs w:val="0"/>
          <w:lang w:eastAsia="zh-CN"/>
        </w:rPr>
      </w:pPr>
      <w:r>
        <w:rPr>
          <w:rFonts w:hint="eastAsia" w:ascii="方正黑体_GBK" w:hAnsi="方正黑体_GBK" w:eastAsia="方正黑体_GBK" w:cs="方正黑体_GBK"/>
          <w:b w:val="0"/>
          <w:bCs w:val="0"/>
        </w:rPr>
        <w:t>四、管理</w:t>
      </w:r>
      <w:r>
        <w:rPr>
          <w:rFonts w:hint="eastAsia" w:ascii="方正黑体_GBK" w:hAnsi="方正黑体_GBK" w:eastAsia="方正黑体_GBK" w:cs="方正黑体_GBK"/>
          <w:b w:val="0"/>
          <w:bCs w:val="0"/>
          <w:lang w:eastAsia="zh-CN"/>
        </w:rPr>
        <w:t>机制</w:t>
      </w:r>
    </w:p>
    <w:p>
      <w:pPr>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lang w:val="en-US" w:eastAsia="zh-CN"/>
        </w:rPr>
        <w:t xml:space="preserve">     </w:t>
      </w:r>
      <w:r>
        <w:rPr>
          <w:rFonts w:hint="eastAsia" w:ascii="仿宋_GB2312" w:hAnsi="仿宋_GB2312" w:eastAsia="仿宋_GB2312" w:cs="仿宋_GB2312"/>
          <w:b w:val="0"/>
          <w:bCs w:val="0"/>
          <w:sz w:val="32"/>
          <w:szCs w:val="32"/>
          <w:lang w:val="en-US" w:eastAsia="zh-CN"/>
        </w:rPr>
        <w:t xml:space="preserve"> 1.市级层面（市经信局、市发改委、市科技局、市自然资源和规划局、市生态环境局、市住建局、市应急管理局、市能源局）研究提出标准，制定规划工业控制线外“零增地”技术改造正面和负面清单，并适时更新。</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2.各区（县、市）根据市级正面和负面清单，结合本区规划和实际，细化标准，制定工业控制线外“零增地”技术改造正面和负面清单，并适时公布和更新。高新区、前湾新区可直接适用市级正面和负面清单。</w:t>
      </w:r>
    </w:p>
    <w:p>
      <w:pPr>
        <w:pStyle w:val="30"/>
        <w:keepNext w:val="0"/>
        <w:keepLines w:val="0"/>
        <w:pageBreakBefore w:val="0"/>
        <w:kinsoku/>
        <w:wordWrap/>
        <w:overflowPunct/>
        <w:topLinePunct w:val="0"/>
        <w:autoSpaceDE/>
        <w:bidi w:val="0"/>
        <w:adjustRightInd/>
        <w:snapToGrid/>
        <w:spacing w:line="580" w:lineRule="exact"/>
        <w:ind w:firstLine="640"/>
        <w:textAlignment w:val="auto"/>
        <w:rPr>
          <w:rStyle w:val="31"/>
          <w:rFonts w:hint="eastAsia" w:ascii="仿宋_GB2312"/>
          <w:lang w:eastAsia="zh-CN"/>
        </w:rPr>
      </w:pPr>
      <w:r>
        <w:rPr>
          <w:rFonts w:hint="eastAsia" w:ascii="仿宋_GB2312" w:hAnsi="仿宋_GB2312" w:eastAsia="仿宋_GB2312" w:cs="仿宋_GB2312"/>
          <w:b w:val="0"/>
          <w:bCs w:val="0"/>
          <w:lang w:val="en-US" w:eastAsia="zh-CN"/>
        </w:rPr>
        <w:t>3.各区（县、市）根据正面和负面清单要求，</w:t>
      </w:r>
      <w:r>
        <w:rPr>
          <w:rFonts w:hint="eastAsia" w:ascii="仿宋_GB2312" w:hAnsi="仿宋_GB2312" w:cs="仿宋_GB2312"/>
          <w:b w:val="0"/>
          <w:bCs w:val="0"/>
          <w:lang w:val="en-US" w:eastAsia="zh-CN"/>
        </w:rPr>
        <w:t>按“</w:t>
      </w:r>
      <w:r>
        <w:rPr>
          <w:rFonts w:hint="eastAsia" w:ascii="仿宋_GB2312" w:hAnsi="仿宋_GB2312" w:eastAsia="仿宋_GB2312" w:cs="仿宋_GB2312"/>
          <w:kern w:val="0"/>
          <w:sz w:val="32"/>
          <w:lang w:bidi="ar"/>
        </w:rPr>
        <w:t>位于工业控制线外</w:t>
      </w:r>
      <w:r>
        <w:rPr>
          <w:rFonts w:ascii="仿宋_GB2312" w:hAnsi="仿宋_GB2312" w:eastAsia="仿宋_GB2312" w:cs="仿宋_GB2312"/>
          <w:kern w:val="0"/>
          <w:sz w:val="32"/>
          <w:lang w:bidi="ar"/>
        </w:rPr>
        <w:t>，但</w:t>
      </w:r>
      <w:r>
        <w:rPr>
          <w:rFonts w:hint="eastAsia" w:ascii="仿宋_GB2312" w:hAnsi="仿宋_GB2312" w:eastAsia="仿宋_GB2312" w:cs="仿宋_GB2312"/>
          <w:kern w:val="0"/>
          <w:sz w:val="32"/>
          <w:lang w:bidi="ar"/>
        </w:rPr>
        <w:t>符合正面清单标准的现状工业企业</w:t>
      </w:r>
      <w:r>
        <w:rPr>
          <w:rFonts w:hint="eastAsia" w:ascii="仿宋_GB2312" w:hAnsi="仿宋_GB2312" w:cs="仿宋_GB2312"/>
          <w:kern w:val="0"/>
          <w:sz w:val="32"/>
          <w:lang w:eastAsia="zh-CN" w:bidi="ar"/>
        </w:rPr>
        <w:t>（</w:t>
      </w:r>
      <w:r>
        <w:rPr>
          <w:rFonts w:hint="eastAsia" w:ascii="仿宋_GB2312" w:hAnsi="仿宋_GB2312" w:eastAsia="仿宋_GB2312" w:cs="仿宋_GB2312"/>
          <w:kern w:val="0"/>
          <w:sz w:val="32"/>
          <w:lang w:bidi="ar"/>
        </w:rPr>
        <w:t>项目</w:t>
      </w:r>
      <w:r>
        <w:rPr>
          <w:rFonts w:hint="eastAsia" w:ascii="仿宋_GB2312" w:hAnsi="仿宋_GB2312" w:cs="仿宋_GB2312"/>
          <w:kern w:val="0"/>
          <w:sz w:val="32"/>
          <w:lang w:eastAsia="zh-CN" w:bidi="ar"/>
        </w:rPr>
        <w:t>）”</w:t>
      </w:r>
      <w:r>
        <w:rPr>
          <w:rFonts w:hint="eastAsia" w:ascii="仿宋_GB2312" w:hAnsi="仿宋_GB2312" w:eastAsia="仿宋_GB2312" w:cs="仿宋_GB2312"/>
          <w:kern w:val="0"/>
          <w:sz w:val="32"/>
          <w:lang w:bidi="ar"/>
        </w:rPr>
        <w:t>，</w:t>
      </w:r>
      <w:r>
        <w:rPr>
          <w:rFonts w:hint="eastAsia" w:ascii="仿宋_GB2312" w:hAnsi="仿宋_GB2312" w:cs="仿宋_GB2312"/>
          <w:kern w:val="0"/>
          <w:sz w:val="32"/>
          <w:lang w:eastAsia="zh-CN" w:bidi="ar"/>
        </w:rPr>
        <w:t>“</w:t>
      </w:r>
      <w:r>
        <w:rPr>
          <w:rStyle w:val="31"/>
          <w:rFonts w:hint="eastAsia" w:ascii="仿宋_GB2312"/>
        </w:rPr>
        <w:t>位于工业控制线外</w:t>
      </w:r>
      <w:r>
        <w:rPr>
          <w:rStyle w:val="31"/>
          <w:rFonts w:ascii="仿宋_GB2312"/>
        </w:rPr>
        <w:t>，</w:t>
      </w:r>
      <w:r>
        <w:rPr>
          <w:rStyle w:val="31"/>
          <w:rFonts w:hint="eastAsia" w:ascii="仿宋_GB2312"/>
        </w:rPr>
        <w:t>且</w:t>
      </w:r>
      <w:r>
        <w:rPr>
          <w:rFonts w:hint="eastAsia" w:ascii="仿宋_GB2312" w:hAnsi="仿宋_GB2312" w:eastAsia="仿宋_GB2312" w:cs="仿宋_GB2312"/>
          <w:kern w:val="0"/>
          <w:sz w:val="32"/>
          <w:lang w:bidi="ar"/>
        </w:rPr>
        <w:t>不符合正面清单标准的工业企业</w:t>
      </w:r>
      <w:r>
        <w:rPr>
          <w:rFonts w:hint="eastAsia" w:ascii="仿宋_GB2312" w:hAnsi="仿宋_GB2312" w:cs="仿宋_GB2312"/>
          <w:kern w:val="0"/>
          <w:sz w:val="32"/>
          <w:lang w:eastAsia="zh-CN" w:bidi="ar"/>
        </w:rPr>
        <w:t>（</w:t>
      </w:r>
      <w:r>
        <w:rPr>
          <w:rFonts w:hint="eastAsia" w:ascii="仿宋_GB2312" w:hAnsi="仿宋_GB2312" w:eastAsia="仿宋_GB2312" w:cs="仿宋_GB2312"/>
          <w:kern w:val="0"/>
          <w:sz w:val="32"/>
          <w:lang w:bidi="ar"/>
        </w:rPr>
        <w:t>项目</w:t>
      </w:r>
      <w:r>
        <w:rPr>
          <w:rFonts w:hint="eastAsia" w:ascii="仿宋_GB2312" w:hAnsi="仿宋_GB2312" w:cs="仿宋_GB2312"/>
          <w:kern w:val="0"/>
          <w:sz w:val="32"/>
          <w:lang w:eastAsia="zh-CN" w:bidi="ar"/>
        </w:rPr>
        <w:t>）”，“</w:t>
      </w:r>
      <w:r>
        <w:rPr>
          <w:rStyle w:val="31"/>
          <w:rFonts w:hint="eastAsia" w:ascii="仿宋_GB2312"/>
        </w:rPr>
        <w:t>位于城镇开发边界</w:t>
      </w:r>
      <w:r>
        <w:rPr>
          <w:rStyle w:val="31"/>
          <w:rFonts w:hint="eastAsia" w:ascii="仿宋_GB2312"/>
          <w:lang w:eastAsia="zh-CN"/>
        </w:rPr>
        <w:t>内的</w:t>
      </w:r>
      <w:r>
        <w:rPr>
          <w:rStyle w:val="31"/>
          <w:rFonts w:hint="eastAsia" w:ascii="仿宋_GB2312"/>
        </w:rPr>
        <w:t>负面清单</w:t>
      </w:r>
      <w:r>
        <w:rPr>
          <w:rStyle w:val="31"/>
          <w:rFonts w:hint="eastAsia" w:ascii="仿宋_GB2312"/>
          <w:lang w:eastAsia="zh-CN"/>
        </w:rPr>
        <w:t>企业（</w:t>
      </w:r>
      <w:r>
        <w:rPr>
          <w:rStyle w:val="31"/>
          <w:rFonts w:hint="eastAsia" w:ascii="仿宋_GB2312"/>
        </w:rPr>
        <w:t>项目</w:t>
      </w:r>
      <w:r>
        <w:rPr>
          <w:rStyle w:val="31"/>
          <w:rFonts w:hint="eastAsia" w:ascii="仿宋_GB2312"/>
          <w:lang w:eastAsia="zh-CN"/>
        </w:rPr>
        <w:t>）”，</w:t>
      </w:r>
      <w:r>
        <w:rPr>
          <w:rFonts w:hint="eastAsia" w:ascii="仿宋_GB2312" w:hAnsi="仿宋_GB2312" w:cs="仿宋_GB2312"/>
          <w:kern w:val="0"/>
          <w:sz w:val="32"/>
          <w:lang w:eastAsia="zh-CN" w:bidi="ar"/>
        </w:rPr>
        <w:t>“</w:t>
      </w:r>
      <w:r>
        <w:rPr>
          <w:rStyle w:val="31"/>
          <w:rFonts w:hint="eastAsia" w:ascii="仿宋_GB2312"/>
        </w:rPr>
        <w:t>位于城镇开发边界</w:t>
      </w:r>
      <w:r>
        <w:rPr>
          <w:rStyle w:val="31"/>
          <w:rFonts w:hint="eastAsia" w:ascii="仿宋_GB2312"/>
          <w:lang w:eastAsia="zh-CN"/>
        </w:rPr>
        <w:t>外的</w:t>
      </w:r>
      <w:r>
        <w:rPr>
          <w:rStyle w:val="31"/>
          <w:rFonts w:hint="eastAsia" w:ascii="仿宋_GB2312"/>
        </w:rPr>
        <w:t>负面清单</w:t>
      </w:r>
      <w:r>
        <w:rPr>
          <w:rStyle w:val="31"/>
          <w:rFonts w:hint="eastAsia" w:ascii="仿宋_GB2312"/>
          <w:lang w:eastAsia="zh-CN"/>
        </w:rPr>
        <w:t>企业（</w:t>
      </w:r>
      <w:r>
        <w:rPr>
          <w:rStyle w:val="31"/>
          <w:rFonts w:hint="eastAsia" w:ascii="仿宋_GB2312"/>
        </w:rPr>
        <w:t>项目</w:t>
      </w:r>
      <w:r>
        <w:rPr>
          <w:rStyle w:val="31"/>
          <w:rFonts w:hint="eastAsia" w:ascii="仿宋_GB2312"/>
          <w:lang w:eastAsia="zh-CN"/>
        </w:rPr>
        <w:t>）”四类，每年列出企业（项目）清单（名称、所在具体位置、法人、负责人、联系人及电话），并按清单组织实施“零增地”技术改造。清单应同时上报市制造业高质量发展领导小组办公室备案。</w:t>
      </w:r>
    </w:p>
    <w:p>
      <w:pPr>
        <w:keepNext w:val="0"/>
        <w:keepLines w:val="0"/>
        <w:widowControl/>
        <w:suppressLineNumbers w:val="0"/>
        <w:ind w:firstLine="640" w:firstLineChars="200"/>
        <w:jc w:val="left"/>
        <w:rPr>
          <w:rStyle w:val="31"/>
          <w:rFonts w:hint="eastAsia" w:ascii="仿宋_GB2312"/>
          <w:lang w:val="en-US" w:eastAsia="zh-CN"/>
        </w:rPr>
      </w:pPr>
      <w:r>
        <w:rPr>
          <w:rStyle w:val="31"/>
          <w:rFonts w:hint="eastAsia" w:ascii="仿宋_GB2312" w:hAnsi="Times New Roman"/>
          <w:lang w:val="en-US" w:eastAsia="zh-CN" w:bidi="ar-SA"/>
        </w:rPr>
        <w:t>4.符合正面清单标准的项目，可正常开展项目能评、环评相关工作。各级经信会同自然资源规划等相关部门支持其“零增地”技术改造，各级能源、生态环境部门应严格落实建设项目能评、环评管理各项要求，做好项目能评、环评审批相关工作。各级住建部门要严格“工改工”的扩容审批标准，避免“工改居”“工改商”。</w:t>
      </w:r>
    </w:p>
    <w:p>
      <w:pPr>
        <w:keepNext w:val="0"/>
        <w:keepLines w:val="0"/>
        <w:widowControl/>
        <w:suppressLineNumbers w:val="0"/>
        <w:ind w:firstLine="640" w:firstLineChars="200"/>
        <w:jc w:val="left"/>
        <w:rPr>
          <w:rStyle w:val="31"/>
          <w:rFonts w:hint="eastAsia" w:ascii="仿宋_GB2312" w:hAnsi="Times New Roman"/>
          <w:lang w:val="en-US" w:eastAsia="zh-CN" w:bidi="ar-SA"/>
        </w:rPr>
      </w:pPr>
      <w:r>
        <w:rPr>
          <w:rStyle w:val="31"/>
          <w:rFonts w:hint="eastAsia" w:ascii="仿宋_GB2312" w:hAnsi="Times New Roman"/>
          <w:lang w:val="en-US" w:eastAsia="zh-CN" w:bidi="ar-SA"/>
        </w:rPr>
        <w:t>5.市制造业高质量发展领导小组办公室对清单以及“零增地”技术改造实施情况可以适时组织市级部门进行审查或抽查，对项目申报信息不实或土地出让合同履约不达标的项目，由相关部门视情况采取停止改扩建手续办理、收回土地、纳入信用黑名单等措施。</w:t>
      </w:r>
    </w:p>
    <w:p>
      <w:pPr>
        <w:pStyle w:val="30"/>
        <w:keepNext w:val="0"/>
        <w:keepLines w:val="0"/>
        <w:pageBreakBefore w:val="0"/>
        <w:kinsoku/>
        <w:wordWrap/>
        <w:overflowPunct/>
        <w:topLinePunct w:val="0"/>
        <w:autoSpaceDE/>
        <w:bidi w:val="0"/>
        <w:adjustRightInd/>
        <w:snapToGrid/>
        <w:spacing w:line="580" w:lineRule="exact"/>
        <w:ind w:firstLine="640"/>
        <w:textAlignment w:val="auto"/>
        <w:rPr>
          <w:rStyle w:val="31"/>
          <w:rFonts w:hint="eastAsia" w:ascii="仿宋_GB2312"/>
          <w:lang w:val="en-US" w:eastAsia="zh-CN"/>
        </w:rPr>
      </w:pPr>
      <w:r>
        <w:rPr>
          <w:rStyle w:val="31"/>
          <w:rFonts w:hint="eastAsia" w:ascii="仿宋_GB2312"/>
          <w:lang w:val="en-US" w:eastAsia="zh-CN"/>
        </w:rPr>
        <w:t>6.各区（县、市）对“零增地”技术改造实施跟踪管理，并将“零增地”技术改造实施情况更新到全市空间腾换项目库并在市产业地图综合治理平台“上图落位”。</w:t>
      </w:r>
    </w:p>
    <w:p>
      <w:pPr>
        <w:pStyle w:val="30"/>
        <w:keepNext w:val="0"/>
        <w:keepLines w:val="0"/>
        <w:pageBreakBefore w:val="0"/>
        <w:kinsoku/>
        <w:wordWrap/>
        <w:overflowPunct/>
        <w:topLinePunct w:val="0"/>
        <w:autoSpaceDE/>
        <w:bidi w:val="0"/>
        <w:adjustRightInd/>
        <w:snapToGrid/>
        <w:spacing w:line="580" w:lineRule="exact"/>
        <w:ind w:firstLine="640"/>
        <w:textAlignment w:val="auto"/>
        <w:rPr>
          <w:rStyle w:val="31"/>
          <w:rFonts w:hint="default" w:ascii="仿宋_GB2312"/>
          <w:lang w:val="en-US" w:eastAsia="zh-CN"/>
        </w:rPr>
      </w:pPr>
      <w:r>
        <w:rPr>
          <w:rStyle w:val="31"/>
          <w:rFonts w:hint="eastAsia" w:ascii="仿宋_GB2312"/>
          <w:lang w:val="en-US" w:eastAsia="zh-CN"/>
        </w:rPr>
        <w:t>7、市、区两级部门建立数据和信息共享机制，定期交换正、负面清单项目信息。</w:t>
      </w:r>
    </w:p>
    <w:sectPr>
      <w:footerReference r:id="rId3" w:type="default"/>
      <w:pgSz w:w="11850" w:h="16783"/>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简体">
    <w:altName w:val="方正小标宋简体"/>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DejaVu Sans">
    <w:panose1 w:val="020B0606030804020204"/>
    <w:charset w:val="00"/>
    <w:family w:val="auto"/>
    <w:pitch w:val="default"/>
    <w:sig w:usb0="E7006EFF" w:usb1="D200FDFF" w:usb2="0A246029" w:usb3="0400200C" w:csb0="600001FF" w:csb1="DFFF0000"/>
  </w:font>
  <w:font w:name="方正楷体简体">
    <w:altName w:val="方正楷体_GBK"/>
    <w:panose1 w:val="03000509000000000000"/>
    <w:charset w:val="86"/>
    <w:family w:val="script"/>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Segoe UI Symbol">
    <w:altName w:val="Noto Sans"/>
    <w:panose1 w:val="020B0502040204020203"/>
    <w:charset w:val="00"/>
    <w:family w:val="swiss"/>
    <w:pitch w:val="default"/>
    <w:sig w:usb0="00000000" w:usb1="00000000" w:usb2="00040000" w:usb3="00000000" w:csb0="00000001" w:csb1="00000000"/>
  </w:font>
  <w:font w:name="Noto Sans">
    <w:panose1 w:val="020B0502040504020204"/>
    <w:charset w:val="00"/>
    <w:family w:val="auto"/>
    <w:pitch w:val="default"/>
    <w:sig w:usb0="E00002FF" w:usb1="4000201F" w:usb2="08000029" w:usb3="00100000" w:csb0="0000019F" w:csb1="00000000"/>
  </w:font>
  <w:font w:name="创艺简标宋">
    <w:panose1 w:val="00000000000000000000"/>
    <w:charset w:val="86"/>
    <w:family w:val="auto"/>
    <w:pitch w:val="default"/>
    <w:sig w:usb0="00000000" w:usb1="00000000" w:usb2="00000000" w:usb3="00000000" w:csb0="00006F00" w:csb1="72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LNJWO7QAAAABQEAAA8AAAAAAAAAAQAgAAAAOAAAAGRycy9k&#10;b3ducmV2LnhtbFBLAQIUABQAAAAIAIdO4kD1sZrnLQIAAFcEAAAOAAAAAAAAAAEAIAAAADUBAABk&#10;cnMvZTJvRG9jLnhtbFBLBQYAAAAABgAGAFkBAADU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BBF76FC"/>
    <w:rsid w:val="000037B7"/>
    <w:rsid w:val="000103EF"/>
    <w:rsid w:val="00015F6E"/>
    <w:rsid w:val="000260EA"/>
    <w:rsid w:val="00027F49"/>
    <w:rsid w:val="00030C03"/>
    <w:rsid w:val="000347F6"/>
    <w:rsid w:val="000361C0"/>
    <w:rsid w:val="00041F2D"/>
    <w:rsid w:val="00042267"/>
    <w:rsid w:val="0004607D"/>
    <w:rsid w:val="00057A8E"/>
    <w:rsid w:val="00060B5A"/>
    <w:rsid w:val="00064A59"/>
    <w:rsid w:val="00073A0E"/>
    <w:rsid w:val="000763FF"/>
    <w:rsid w:val="0008015D"/>
    <w:rsid w:val="0008601F"/>
    <w:rsid w:val="00093854"/>
    <w:rsid w:val="00094AAE"/>
    <w:rsid w:val="000A1A18"/>
    <w:rsid w:val="000B0B5F"/>
    <w:rsid w:val="000C0941"/>
    <w:rsid w:val="000C0D93"/>
    <w:rsid w:val="000C687C"/>
    <w:rsid w:val="000D0981"/>
    <w:rsid w:val="000D170D"/>
    <w:rsid w:val="000D604D"/>
    <w:rsid w:val="000D6887"/>
    <w:rsid w:val="000F4984"/>
    <w:rsid w:val="00106108"/>
    <w:rsid w:val="00114973"/>
    <w:rsid w:val="00121F17"/>
    <w:rsid w:val="00133060"/>
    <w:rsid w:val="00134CE6"/>
    <w:rsid w:val="001363D0"/>
    <w:rsid w:val="00150537"/>
    <w:rsid w:val="001505FB"/>
    <w:rsid w:val="00150D42"/>
    <w:rsid w:val="00151FEF"/>
    <w:rsid w:val="00155378"/>
    <w:rsid w:val="001632CF"/>
    <w:rsid w:val="00175623"/>
    <w:rsid w:val="00181B64"/>
    <w:rsid w:val="00183533"/>
    <w:rsid w:val="00184144"/>
    <w:rsid w:val="00195D01"/>
    <w:rsid w:val="001A04A8"/>
    <w:rsid w:val="001C2CB3"/>
    <w:rsid w:val="001C75D4"/>
    <w:rsid w:val="001D6E8D"/>
    <w:rsid w:val="002003DB"/>
    <w:rsid w:val="00200BF0"/>
    <w:rsid w:val="00203690"/>
    <w:rsid w:val="00206BB8"/>
    <w:rsid w:val="0021338C"/>
    <w:rsid w:val="00215CA1"/>
    <w:rsid w:val="002166A5"/>
    <w:rsid w:val="00216BFE"/>
    <w:rsid w:val="0021788B"/>
    <w:rsid w:val="002223D7"/>
    <w:rsid w:val="00233F0E"/>
    <w:rsid w:val="0024630A"/>
    <w:rsid w:val="0025022C"/>
    <w:rsid w:val="002504F0"/>
    <w:rsid w:val="002527D6"/>
    <w:rsid w:val="00253FDD"/>
    <w:rsid w:val="00261937"/>
    <w:rsid w:val="00262609"/>
    <w:rsid w:val="00262DA7"/>
    <w:rsid w:val="00266B45"/>
    <w:rsid w:val="00273BAE"/>
    <w:rsid w:val="0027502A"/>
    <w:rsid w:val="002750EA"/>
    <w:rsid w:val="002753BC"/>
    <w:rsid w:val="00277322"/>
    <w:rsid w:val="00286F7A"/>
    <w:rsid w:val="00293AD9"/>
    <w:rsid w:val="002957F9"/>
    <w:rsid w:val="002A3558"/>
    <w:rsid w:val="002A573B"/>
    <w:rsid w:val="002A57C0"/>
    <w:rsid w:val="002B4298"/>
    <w:rsid w:val="002B6471"/>
    <w:rsid w:val="002B7A12"/>
    <w:rsid w:val="002C1391"/>
    <w:rsid w:val="002E0D7F"/>
    <w:rsid w:val="002E1B62"/>
    <w:rsid w:val="002E3BF6"/>
    <w:rsid w:val="002E5101"/>
    <w:rsid w:val="002F0E24"/>
    <w:rsid w:val="002F122B"/>
    <w:rsid w:val="002F2C34"/>
    <w:rsid w:val="002F36BB"/>
    <w:rsid w:val="002F3B01"/>
    <w:rsid w:val="002F4D63"/>
    <w:rsid w:val="00313E9A"/>
    <w:rsid w:val="00321C3C"/>
    <w:rsid w:val="00321E4C"/>
    <w:rsid w:val="00322458"/>
    <w:rsid w:val="00330561"/>
    <w:rsid w:val="003317CB"/>
    <w:rsid w:val="00333DE3"/>
    <w:rsid w:val="003343E4"/>
    <w:rsid w:val="00341549"/>
    <w:rsid w:val="00341F69"/>
    <w:rsid w:val="00342C35"/>
    <w:rsid w:val="00343950"/>
    <w:rsid w:val="00347F15"/>
    <w:rsid w:val="0035596F"/>
    <w:rsid w:val="00371B9C"/>
    <w:rsid w:val="0037764A"/>
    <w:rsid w:val="00381FCF"/>
    <w:rsid w:val="0038272F"/>
    <w:rsid w:val="00387330"/>
    <w:rsid w:val="003905C2"/>
    <w:rsid w:val="00393ECA"/>
    <w:rsid w:val="003A41DA"/>
    <w:rsid w:val="003B3C1D"/>
    <w:rsid w:val="003B4377"/>
    <w:rsid w:val="003B4B86"/>
    <w:rsid w:val="003B5905"/>
    <w:rsid w:val="003B5942"/>
    <w:rsid w:val="003B5FA8"/>
    <w:rsid w:val="003B6F61"/>
    <w:rsid w:val="003C2500"/>
    <w:rsid w:val="003C2E31"/>
    <w:rsid w:val="003C2F38"/>
    <w:rsid w:val="003C4125"/>
    <w:rsid w:val="003C606C"/>
    <w:rsid w:val="003C7DB3"/>
    <w:rsid w:val="003F065E"/>
    <w:rsid w:val="003F0C9D"/>
    <w:rsid w:val="00406D47"/>
    <w:rsid w:val="00406D62"/>
    <w:rsid w:val="00406ECE"/>
    <w:rsid w:val="0041080C"/>
    <w:rsid w:val="004124D8"/>
    <w:rsid w:val="004149E9"/>
    <w:rsid w:val="004161AE"/>
    <w:rsid w:val="00426FEB"/>
    <w:rsid w:val="00433656"/>
    <w:rsid w:val="00435359"/>
    <w:rsid w:val="004363E8"/>
    <w:rsid w:val="00441F6C"/>
    <w:rsid w:val="0044461E"/>
    <w:rsid w:val="00451624"/>
    <w:rsid w:val="00454502"/>
    <w:rsid w:val="00464C8C"/>
    <w:rsid w:val="00466FC4"/>
    <w:rsid w:val="00467B29"/>
    <w:rsid w:val="00472942"/>
    <w:rsid w:val="00481BED"/>
    <w:rsid w:val="00485471"/>
    <w:rsid w:val="00485709"/>
    <w:rsid w:val="00487DF0"/>
    <w:rsid w:val="004905AE"/>
    <w:rsid w:val="0049428E"/>
    <w:rsid w:val="004956C4"/>
    <w:rsid w:val="004A7E58"/>
    <w:rsid w:val="004D4281"/>
    <w:rsid w:val="004D4EC5"/>
    <w:rsid w:val="004E5B2D"/>
    <w:rsid w:val="004E7596"/>
    <w:rsid w:val="004F2CC0"/>
    <w:rsid w:val="005011E1"/>
    <w:rsid w:val="00506720"/>
    <w:rsid w:val="00516207"/>
    <w:rsid w:val="00516E96"/>
    <w:rsid w:val="00523259"/>
    <w:rsid w:val="00524DC8"/>
    <w:rsid w:val="00526BCC"/>
    <w:rsid w:val="005272C4"/>
    <w:rsid w:val="005479B2"/>
    <w:rsid w:val="00547B76"/>
    <w:rsid w:val="00552338"/>
    <w:rsid w:val="005558CB"/>
    <w:rsid w:val="0056071D"/>
    <w:rsid w:val="00562F85"/>
    <w:rsid w:val="00563B19"/>
    <w:rsid w:val="00563EB9"/>
    <w:rsid w:val="005838B8"/>
    <w:rsid w:val="00585579"/>
    <w:rsid w:val="005B2EEC"/>
    <w:rsid w:val="005C12C8"/>
    <w:rsid w:val="005C4678"/>
    <w:rsid w:val="005D0EFB"/>
    <w:rsid w:val="005D3E34"/>
    <w:rsid w:val="005D4DDC"/>
    <w:rsid w:val="005E6C29"/>
    <w:rsid w:val="006042E7"/>
    <w:rsid w:val="006123BE"/>
    <w:rsid w:val="00620286"/>
    <w:rsid w:val="00631204"/>
    <w:rsid w:val="00636B7B"/>
    <w:rsid w:val="00654BF2"/>
    <w:rsid w:val="00654FAA"/>
    <w:rsid w:val="00662AA0"/>
    <w:rsid w:val="00662BE5"/>
    <w:rsid w:val="00662D6F"/>
    <w:rsid w:val="00672246"/>
    <w:rsid w:val="00672862"/>
    <w:rsid w:val="00674E9F"/>
    <w:rsid w:val="0068340A"/>
    <w:rsid w:val="0068545D"/>
    <w:rsid w:val="006B35B7"/>
    <w:rsid w:val="006C31A9"/>
    <w:rsid w:val="006C5162"/>
    <w:rsid w:val="006C64F5"/>
    <w:rsid w:val="006E162E"/>
    <w:rsid w:val="006E2B56"/>
    <w:rsid w:val="006F36FF"/>
    <w:rsid w:val="00706761"/>
    <w:rsid w:val="007145A3"/>
    <w:rsid w:val="0072187C"/>
    <w:rsid w:val="0072565D"/>
    <w:rsid w:val="00726D99"/>
    <w:rsid w:val="00726FE2"/>
    <w:rsid w:val="007320C8"/>
    <w:rsid w:val="007414F2"/>
    <w:rsid w:val="00741603"/>
    <w:rsid w:val="0074257D"/>
    <w:rsid w:val="0074397E"/>
    <w:rsid w:val="00743A02"/>
    <w:rsid w:val="007457A7"/>
    <w:rsid w:val="00754EA8"/>
    <w:rsid w:val="00757580"/>
    <w:rsid w:val="0076139C"/>
    <w:rsid w:val="0076167E"/>
    <w:rsid w:val="007619CF"/>
    <w:rsid w:val="00763C73"/>
    <w:rsid w:val="0076510F"/>
    <w:rsid w:val="007766D7"/>
    <w:rsid w:val="007779DB"/>
    <w:rsid w:val="007813E2"/>
    <w:rsid w:val="00783652"/>
    <w:rsid w:val="00786689"/>
    <w:rsid w:val="00793951"/>
    <w:rsid w:val="00795057"/>
    <w:rsid w:val="007A0BA1"/>
    <w:rsid w:val="007A2871"/>
    <w:rsid w:val="007A3B4E"/>
    <w:rsid w:val="007A659B"/>
    <w:rsid w:val="007C30F5"/>
    <w:rsid w:val="007C6241"/>
    <w:rsid w:val="007D149C"/>
    <w:rsid w:val="007D6595"/>
    <w:rsid w:val="007E3642"/>
    <w:rsid w:val="007E367F"/>
    <w:rsid w:val="007F1BE2"/>
    <w:rsid w:val="007F34DE"/>
    <w:rsid w:val="008075FA"/>
    <w:rsid w:val="00813C7D"/>
    <w:rsid w:val="00817BE1"/>
    <w:rsid w:val="008213D6"/>
    <w:rsid w:val="008266DE"/>
    <w:rsid w:val="00826BD6"/>
    <w:rsid w:val="00827C32"/>
    <w:rsid w:val="008371C4"/>
    <w:rsid w:val="00845553"/>
    <w:rsid w:val="00845DFE"/>
    <w:rsid w:val="00854D37"/>
    <w:rsid w:val="00855D4D"/>
    <w:rsid w:val="00855E6F"/>
    <w:rsid w:val="00857808"/>
    <w:rsid w:val="00866F99"/>
    <w:rsid w:val="008810D2"/>
    <w:rsid w:val="00884BD7"/>
    <w:rsid w:val="0088562E"/>
    <w:rsid w:val="00885AF1"/>
    <w:rsid w:val="00885C43"/>
    <w:rsid w:val="008948D1"/>
    <w:rsid w:val="008A0B80"/>
    <w:rsid w:val="008A0E71"/>
    <w:rsid w:val="008A41F7"/>
    <w:rsid w:val="008A4C0F"/>
    <w:rsid w:val="008A606A"/>
    <w:rsid w:val="008B2767"/>
    <w:rsid w:val="008B485A"/>
    <w:rsid w:val="008C73BB"/>
    <w:rsid w:val="008D0F1A"/>
    <w:rsid w:val="008D2728"/>
    <w:rsid w:val="008D45C3"/>
    <w:rsid w:val="008E5797"/>
    <w:rsid w:val="008F48E8"/>
    <w:rsid w:val="008F7D7B"/>
    <w:rsid w:val="009121A4"/>
    <w:rsid w:val="009155C4"/>
    <w:rsid w:val="00920A3D"/>
    <w:rsid w:val="00921DE5"/>
    <w:rsid w:val="00922AF4"/>
    <w:rsid w:val="00922D06"/>
    <w:rsid w:val="00924CB9"/>
    <w:rsid w:val="00934A9A"/>
    <w:rsid w:val="00934E6B"/>
    <w:rsid w:val="009419E2"/>
    <w:rsid w:val="00943D5D"/>
    <w:rsid w:val="00946EF6"/>
    <w:rsid w:val="00950951"/>
    <w:rsid w:val="00973C19"/>
    <w:rsid w:val="0098026C"/>
    <w:rsid w:val="009821D3"/>
    <w:rsid w:val="009B06EA"/>
    <w:rsid w:val="009B10A0"/>
    <w:rsid w:val="009B1F0A"/>
    <w:rsid w:val="009B2019"/>
    <w:rsid w:val="009C02D8"/>
    <w:rsid w:val="009C257F"/>
    <w:rsid w:val="009C34D1"/>
    <w:rsid w:val="009C39FC"/>
    <w:rsid w:val="009C647A"/>
    <w:rsid w:val="009D78DE"/>
    <w:rsid w:val="009E20EF"/>
    <w:rsid w:val="009E3872"/>
    <w:rsid w:val="009F4674"/>
    <w:rsid w:val="009F47B2"/>
    <w:rsid w:val="009F481E"/>
    <w:rsid w:val="00A07FDC"/>
    <w:rsid w:val="00A107AE"/>
    <w:rsid w:val="00A22159"/>
    <w:rsid w:val="00A2298C"/>
    <w:rsid w:val="00A32BD1"/>
    <w:rsid w:val="00A3449D"/>
    <w:rsid w:val="00A42594"/>
    <w:rsid w:val="00A45319"/>
    <w:rsid w:val="00A5435D"/>
    <w:rsid w:val="00A54C78"/>
    <w:rsid w:val="00A669A8"/>
    <w:rsid w:val="00A66F1E"/>
    <w:rsid w:val="00A67A9C"/>
    <w:rsid w:val="00A77AA6"/>
    <w:rsid w:val="00A821D3"/>
    <w:rsid w:val="00A825BF"/>
    <w:rsid w:val="00A86411"/>
    <w:rsid w:val="00A963F6"/>
    <w:rsid w:val="00AA3F34"/>
    <w:rsid w:val="00AC0EE1"/>
    <w:rsid w:val="00AC7B71"/>
    <w:rsid w:val="00AD2B0D"/>
    <w:rsid w:val="00AD61D9"/>
    <w:rsid w:val="00AD7345"/>
    <w:rsid w:val="00AD7F55"/>
    <w:rsid w:val="00AE19E9"/>
    <w:rsid w:val="00AE6573"/>
    <w:rsid w:val="00AE6D93"/>
    <w:rsid w:val="00AF591D"/>
    <w:rsid w:val="00AF5E89"/>
    <w:rsid w:val="00B1568E"/>
    <w:rsid w:val="00B1588E"/>
    <w:rsid w:val="00B20A49"/>
    <w:rsid w:val="00B3195A"/>
    <w:rsid w:val="00B34E9B"/>
    <w:rsid w:val="00B50C6F"/>
    <w:rsid w:val="00B630B4"/>
    <w:rsid w:val="00B63CCC"/>
    <w:rsid w:val="00B73D06"/>
    <w:rsid w:val="00B755AB"/>
    <w:rsid w:val="00B84FDB"/>
    <w:rsid w:val="00B8545E"/>
    <w:rsid w:val="00B87A08"/>
    <w:rsid w:val="00B9595F"/>
    <w:rsid w:val="00B964FD"/>
    <w:rsid w:val="00B979D5"/>
    <w:rsid w:val="00BA130B"/>
    <w:rsid w:val="00BA62A5"/>
    <w:rsid w:val="00BB7790"/>
    <w:rsid w:val="00BD3432"/>
    <w:rsid w:val="00BD3F39"/>
    <w:rsid w:val="00BD4657"/>
    <w:rsid w:val="00BD5FE9"/>
    <w:rsid w:val="00BE39FC"/>
    <w:rsid w:val="00BE4BEC"/>
    <w:rsid w:val="00BF257B"/>
    <w:rsid w:val="00C05CA7"/>
    <w:rsid w:val="00C0741B"/>
    <w:rsid w:val="00C107E6"/>
    <w:rsid w:val="00C1082C"/>
    <w:rsid w:val="00C124B1"/>
    <w:rsid w:val="00C179BC"/>
    <w:rsid w:val="00C2146E"/>
    <w:rsid w:val="00C22206"/>
    <w:rsid w:val="00C26567"/>
    <w:rsid w:val="00C3261E"/>
    <w:rsid w:val="00C33CBE"/>
    <w:rsid w:val="00C37488"/>
    <w:rsid w:val="00C45C6C"/>
    <w:rsid w:val="00C46994"/>
    <w:rsid w:val="00C5243C"/>
    <w:rsid w:val="00C54C25"/>
    <w:rsid w:val="00C6067A"/>
    <w:rsid w:val="00C6771B"/>
    <w:rsid w:val="00C71A2D"/>
    <w:rsid w:val="00C72ECD"/>
    <w:rsid w:val="00C73215"/>
    <w:rsid w:val="00C77A91"/>
    <w:rsid w:val="00C806D4"/>
    <w:rsid w:val="00C80C2D"/>
    <w:rsid w:val="00C84690"/>
    <w:rsid w:val="00C91035"/>
    <w:rsid w:val="00C94020"/>
    <w:rsid w:val="00C94E2D"/>
    <w:rsid w:val="00C96051"/>
    <w:rsid w:val="00C968B2"/>
    <w:rsid w:val="00C97B00"/>
    <w:rsid w:val="00CA5E5D"/>
    <w:rsid w:val="00CD0196"/>
    <w:rsid w:val="00CD13DF"/>
    <w:rsid w:val="00CD2501"/>
    <w:rsid w:val="00CD30F9"/>
    <w:rsid w:val="00CD4A41"/>
    <w:rsid w:val="00CE43FF"/>
    <w:rsid w:val="00CE5567"/>
    <w:rsid w:val="00CE6CAD"/>
    <w:rsid w:val="00D1149B"/>
    <w:rsid w:val="00D11DAE"/>
    <w:rsid w:val="00D140D8"/>
    <w:rsid w:val="00D24346"/>
    <w:rsid w:val="00D302CC"/>
    <w:rsid w:val="00D35B5A"/>
    <w:rsid w:val="00D418D8"/>
    <w:rsid w:val="00D4651E"/>
    <w:rsid w:val="00D55124"/>
    <w:rsid w:val="00D62721"/>
    <w:rsid w:val="00D65D8A"/>
    <w:rsid w:val="00D727C8"/>
    <w:rsid w:val="00D7692A"/>
    <w:rsid w:val="00D8228A"/>
    <w:rsid w:val="00D84A01"/>
    <w:rsid w:val="00D93741"/>
    <w:rsid w:val="00D93D03"/>
    <w:rsid w:val="00D93DB9"/>
    <w:rsid w:val="00D949C3"/>
    <w:rsid w:val="00D94F15"/>
    <w:rsid w:val="00DB087A"/>
    <w:rsid w:val="00DC2D32"/>
    <w:rsid w:val="00DD0D2D"/>
    <w:rsid w:val="00DD1E53"/>
    <w:rsid w:val="00DD3DA5"/>
    <w:rsid w:val="00DD5981"/>
    <w:rsid w:val="00DE0FDB"/>
    <w:rsid w:val="00DE17E5"/>
    <w:rsid w:val="00E019E2"/>
    <w:rsid w:val="00E109AB"/>
    <w:rsid w:val="00E10DA7"/>
    <w:rsid w:val="00E146DD"/>
    <w:rsid w:val="00E255A7"/>
    <w:rsid w:val="00E258BD"/>
    <w:rsid w:val="00E25F73"/>
    <w:rsid w:val="00E27054"/>
    <w:rsid w:val="00E31B17"/>
    <w:rsid w:val="00E43BBD"/>
    <w:rsid w:val="00E45F0E"/>
    <w:rsid w:val="00E566AC"/>
    <w:rsid w:val="00E57C3D"/>
    <w:rsid w:val="00E62A2A"/>
    <w:rsid w:val="00E7225E"/>
    <w:rsid w:val="00E7699B"/>
    <w:rsid w:val="00E80D3D"/>
    <w:rsid w:val="00E85C01"/>
    <w:rsid w:val="00E91DC1"/>
    <w:rsid w:val="00E92277"/>
    <w:rsid w:val="00EB23B6"/>
    <w:rsid w:val="00EB31A8"/>
    <w:rsid w:val="00EB412B"/>
    <w:rsid w:val="00EB4B1D"/>
    <w:rsid w:val="00EB7022"/>
    <w:rsid w:val="00EC6A8E"/>
    <w:rsid w:val="00EC79B3"/>
    <w:rsid w:val="00EE28A1"/>
    <w:rsid w:val="00EE6635"/>
    <w:rsid w:val="00EF1BA2"/>
    <w:rsid w:val="00F109D2"/>
    <w:rsid w:val="00F15717"/>
    <w:rsid w:val="00F177A1"/>
    <w:rsid w:val="00F21AA6"/>
    <w:rsid w:val="00F21B6E"/>
    <w:rsid w:val="00F36098"/>
    <w:rsid w:val="00F36DC6"/>
    <w:rsid w:val="00F535E0"/>
    <w:rsid w:val="00F56952"/>
    <w:rsid w:val="00F56E08"/>
    <w:rsid w:val="00F65A26"/>
    <w:rsid w:val="00F76419"/>
    <w:rsid w:val="00F77D14"/>
    <w:rsid w:val="00F81BF1"/>
    <w:rsid w:val="00F82F16"/>
    <w:rsid w:val="00F8649D"/>
    <w:rsid w:val="00FA1A52"/>
    <w:rsid w:val="00FA2D39"/>
    <w:rsid w:val="00FA3E49"/>
    <w:rsid w:val="00FA4308"/>
    <w:rsid w:val="00FB2E59"/>
    <w:rsid w:val="00FC4A56"/>
    <w:rsid w:val="00FD29AD"/>
    <w:rsid w:val="00FD3B77"/>
    <w:rsid w:val="00FD4A3D"/>
    <w:rsid w:val="00FD7B97"/>
    <w:rsid w:val="00FE02C4"/>
    <w:rsid w:val="00FE158E"/>
    <w:rsid w:val="00FE4FBF"/>
    <w:rsid w:val="00FE50E0"/>
    <w:rsid w:val="00FF24F5"/>
    <w:rsid w:val="00FF45D5"/>
    <w:rsid w:val="00FF6909"/>
    <w:rsid w:val="03AE9DB8"/>
    <w:rsid w:val="0DF40CA2"/>
    <w:rsid w:val="0FBBF5BF"/>
    <w:rsid w:val="17AB6B31"/>
    <w:rsid w:val="17F740C0"/>
    <w:rsid w:val="17FDE29D"/>
    <w:rsid w:val="19FAEB96"/>
    <w:rsid w:val="1BFAE37C"/>
    <w:rsid w:val="1E7D3473"/>
    <w:rsid w:val="1FCF33F5"/>
    <w:rsid w:val="1FFF2F30"/>
    <w:rsid w:val="27CB2BBE"/>
    <w:rsid w:val="29FE77E6"/>
    <w:rsid w:val="2AEC0FE9"/>
    <w:rsid w:val="2AF68261"/>
    <w:rsid w:val="2DFE6495"/>
    <w:rsid w:val="2DFF9888"/>
    <w:rsid w:val="2FE0F153"/>
    <w:rsid w:val="2FFB236E"/>
    <w:rsid w:val="31EEF83D"/>
    <w:rsid w:val="33FAAE84"/>
    <w:rsid w:val="3457EECC"/>
    <w:rsid w:val="35732E37"/>
    <w:rsid w:val="357D34C8"/>
    <w:rsid w:val="35FF4BC0"/>
    <w:rsid w:val="36DE3B73"/>
    <w:rsid w:val="398CCB1C"/>
    <w:rsid w:val="3A366585"/>
    <w:rsid w:val="3BEE4716"/>
    <w:rsid w:val="3BFF3D01"/>
    <w:rsid w:val="3BFFE838"/>
    <w:rsid w:val="3E7A1BF4"/>
    <w:rsid w:val="3EBFBC04"/>
    <w:rsid w:val="3F1CBE16"/>
    <w:rsid w:val="3F394565"/>
    <w:rsid w:val="3F8FC4F0"/>
    <w:rsid w:val="3FBB1779"/>
    <w:rsid w:val="3FDAA03C"/>
    <w:rsid w:val="4025AEEA"/>
    <w:rsid w:val="4D4E61F8"/>
    <w:rsid w:val="4DEB29DD"/>
    <w:rsid w:val="4E3B2AAE"/>
    <w:rsid w:val="4F69004C"/>
    <w:rsid w:val="4FDF1582"/>
    <w:rsid w:val="53EBD43B"/>
    <w:rsid w:val="575FA68A"/>
    <w:rsid w:val="57BE00B0"/>
    <w:rsid w:val="59E791F4"/>
    <w:rsid w:val="59FB6770"/>
    <w:rsid w:val="5B5EBA59"/>
    <w:rsid w:val="5C9F6B57"/>
    <w:rsid w:val="5CFFFCE3"/>
    <w:rsid w:val="5D4F5B7E"/>
    <w:rsid w:val="5DFFA61B"/>
    <w:rsid w:val="5E7F2806"/>
    <w:rsid w:val="5EA826A5"/>
    <w:rsid w:val="5ECF7D35"/>
    <w:rsid w:val="5EEC9D2D"/>
    <w:rsid w:val="5FDFCF97"/>
    <w:rsid w:val="5FFA09BC"/>
    <w:rsid w:val="63DF8A11"/>
    <w:rsid w:val="64EC14B6"/>
    <w:rsid w:val="65F76E6C"/>
    <w:rsid w:val="674B0D0B"/>
    <w:rsid w:val="677DC0FD"/>
    <w:rsid w:val="69678305"/>
    <w:rsid w:val="6A7FE411"/>
    <w:rsid w:val="6BCDF8D0"/>
    <w:rsid w:val="6BECD29F"/>
    <w:rsid w:val="6C3B995E"/>
    <w:rsid w:val="6CFF7709"/>
    <w:rsid w:val="6D3AAA70"/>
    <w:rsid w:val="6DFFD164"/>
    <w:rsid w:val="6EDA23B3"/>
    <w:rsid w:val="6F3B1CE0"/>
    <w:rsid w:val="6FAFC186"/>
    <w:rsid w:val="6FBB4CA5"/>
    <w:rsid w:val="6FBC0093"/>
    <w:rsid w:val="6FBEF24B"/>
    <w:rsid w:val="6FCEC933"/>
    <w:rsid w:val="6FDE5E01"/>
    <w:rsid w:val="6FFE897F"/>
    <w:rsid w:val="6FFF2C6F"/>
    <w:rsid w:val="70FF701B"/>
    <w:rsid w:val="72BFD2F4"/>
    <w:rsid w:val="72FFC5CE"/>
    <w:rsid w:val="738FD608"/>
    <w:rsid w:val="73D7A4EE"/>
    <w:rsid w:val="76A9FE69"/>
    <w:rsid w:val="76DE53BC"/>
    <w:rsid w:val="76DFB653"/>
    <w:rsid w:val="76EFD77E"/>
    <w:rsid w:val="7735FA94"/>
    <w:rsid w:val="773B9A4B"/>
    <w:rsid w:val="77CB4C5E"/>
    <w:rsid w:val="77E7BB72"/>
    <w:rsid w:val="78BDBCBA"/>
    <w:rsid w:val="797FDF2E"/>
    <w:rsid w:val="7A4FD354"/>
    <w:rsid w:val="7ADDC2ED"/>
    <w:rsid w:val="7ADDCE1A"/>
    <w:rsid w:val="7AEFA85D"/>
    <w:rsid w:val="7AFCFE22"/>
    <w:rsid w:val="7B6FC487"/>
    <w:rsid w:val="7B6FDE61"/>
    <w:rsid w:val="7B7F7DDC"/>
    <w:rsid w:val="7BCF2B4F"/>
    <w:rsid w:val="7BF710C0"/>
    <w:rsid w:val="7BFF04F3"/>
    <w:rsid w:val="7C92E7C8"/>
    <w:rsid w:val="7CECF49F"/>
    <w:rsid w:val="7DAF278E"/>
    <w:rsid w:val="7DCFC6AC"/>
    <w:rsid w:val="7DEF44F8"/>
    <w:rsid w:val="7DFD063A"/>
    <w:rsid w:val="7E2A8BE1"/>
    <w:rsid w:val="7E772AA6"/>
    <w:rsid w:val="7E97B5D9"/>
    <w:rsid w:val="7E9FFAD8"/>
    <w:rsid w:val="7EFD7F47"/>
    <w:rsid w:val="7F1B9BC8"/>
    <w:rsid w:val="7F5E09C3"/>
    <w:rsid w:val="7F5E1FDD"/>
    <w:rsid w:val="7F67438A"/>
    <w:rsid w:val="7F6A4A49"/>
    <w:rsid w:val="7F75AF2F"/>
    <w:rsid w:val="7F79F91F"/>
    <w:rsid w:val="7F7D0B8C"/>
    <w:rsid w:val="7FB37485"/>
    <w:rsid w:val="7FDB51B3"/>
    <w:rsid w:val="7FDE921F"/>
    <w:rsid w:val="7FE396F5"/>
    <w:rsid w:val="7FE7F334"/>
    <w:rsid w:val="7FF7F777"/>
    <w:rsid w:val="7FFBB4E7"/>
    <w:rsid w:val="7FFDC069"/>
    <w:rsid w:val="7FFE33C2"/>
    <w:rsid w:val="7FFF69AF"/>
    <w:rsid w:val="7FFFEA31"/>
    <w:rsid w:val="81FF3AEF"/>
    <w:rsid w:val="8675F776"/>
    <w:rsid w:val="86D33C20"/>
    <w:rsid w:val="8BCCCD01"/>
    <w:rsid w:val="93BF65D7"/>
    <w:rsid w:val="9CEF322D"/>
    <w:rsid w:val="9D65B590"/>
    <w:rsid w:val="9E7EC099"/>
    <w:rsid w:val="9FB10F9C"/>
    <w:rsid w:val="9FFA157E"/>
    <w:rsid w:val="9FFEC41E"/>
    <w:rsid w:val="A38E3676"/>
    <w:rsid w:val="ABDEB24D"/>
    <w:rsid w:val="ACEFF919"/>
    <w:rsid w:val="AFDFBAB8"/>
    <w:rsid w:val="AFEE5B5C"/>
    <w:rsid w:val="B75E0894"/>
    <w:rsid w:val="B9977F60"/>
    <w:rsid w:val="BBFD28B5"/>
    <w:rsid w:val="BDEADF93"/>
    <w:rsid w:val="BF3FB589"/>
    <w:rsid w:val="BF7CAA5E"/>
    <w:rsid w:val="BFFB2FF6"/>
    <w:rsid w:val="BFFD9701"/>
    <w:rsid w:val="C371091E"/>
    <w:rsid w:val="C4D72688"/>
    <w:rsid w:val="CBD72087"/>
    <w:rsid w:val="CBFEBF3A"/>
    <w:rsid w:val="CDFF1876"/>
    <w:rsid w:val="D3CE978F"/>
    <w:rsid w:val="D578B59C"/>
    <w:rsid w:val="D5DE95B4"/>
    <w:rsid w:val="D5FF23F5"/>
    <w:rsid w:val="DB3E8201"/>
    <w:rsid w:val="DB7FBD3B"/>
    <w:rsid w:val="DBDB3F91"/>
    <w:rsid w:val="DBEF8686"/>
    <w:rsid w:val="DBFF4A75"/>
    <w:rsid w:val="DBFFFE57"/>
    <w:rsid w:val="DDD6C015"/>
    <w:rsid w:val="DE5E3E18"/>
    <w:rsid w:val="DE7E8DF7"/>
    <w:rsid w:val="DEDFE701"/>
    <w:rsid w:val="DEFF38B5"/>
    <w:rsid w:val="DF3F0217"/>
    <w:rsid w:val="DF768234"/>
    <w:rsid w:val="DF9F6022"/>
    <w:rsid w:val="DFEE8180"/>
    <w:rsid w:val="DFFF6DB5"/>
    <w:rsid w:val="E2EE4284"/>
    <w:rsid w:val="E7DC98DB"/>
    <w:rsid w:val="E7E74793"/>
    <w:rsid w:val="E9B798D6"/>
    <w:rsid w:val="EBDFEB5B"/>
    <w:rsid w:val="EC7E18D2"/>
    <w:rsid w:val="EDDF334A"/>
    <w:rsid w:val="EDF72B1A"/>
    <w:rsid w:val="EDF7D9EB"/>
    <w:rsid w:val="EFC7ADBD"/>
    <w:rsid w:val="EFCE17E6"/>
    <w:rsid w:val="EFF71B70"/>
    <w:rsid w:val="EFF72555"/>
    <w:rsid w:val="EFFF0D62"/>
    <w:rsid w:val="F1BD544C"/>
    <w:rsid w:val="F3044AFE"/>
    <w:rsid w:val="F37B7F80"/>
    <w:rsid w:val="F3BF62D1"/>
    <w:rsid w:val="F4DBA70F"/>
    <w:rsid w:val="F5FB7734"/>
    <w:rsid w:val="F5FE1E0C"/>
    <w:rsid w:val="F5FF94CE"/>
    <w:rsid w:val="F67F3828"/>
    <w:rsid w:val="F6DA9679"/>
    <w:rsid w:val="F6F68BDF"/>
    <w:rsid w:val="F6FEE66D"/>
    <w:rsid w:val="F794EE4B"/>
    <w:rsid w:val="F7EE06EB"/>
    <w:rsid w:val="F7FBD644"/>
    <w:rsid w:val="F7FCE696"/>
    <w:rsid w:val="F7FF204D"/>
    <w:rsid w:val="F7FF8EA5"/>
    <w:rsid w:val="F84BDD11"/>
    <w:rsid w:val="F8DCBFB5"/>
    <w:rsid w:val="FA77F3E9"/>
    <w:rsid w:val="FB6BC2EC"/>
    <w:rsid w:val="FB6FF8D6"/>
    <w:rsid w:val="FB7FD442"/>
    <w:rsid w:val="FBAFC6B9"/>
    <w:rsid w:val="FBBF76FC"/>
    <w:rsid w:val="FBBFA77B"/>
    <w:rsid w:val="FBFA3E9C"/>
    <w:rsid w:val="FBFFFA84"/>
    <w:rsid w:val="FCF5AA4A"/>
    <w:rsid w:val="FCF6E0D2"/>
    <w:rsid w:val="FCFFCB46"/>
    <w:rsid w:val="FD7810FB"/>
    <w:rsid w:val="FDBD315A"/>
    <w:rsid w:val="FDE17B95"/>
    <w:rsid w:val="FDFF0727"/>
    <w:rsid w:val="FE5458AA"/>
    <w:rsid w:val="FE7C6173"/>
    <w:rsid w:val="FEDF9854"/>
    <w:rsid w:val="FEDFA321"/>
    <w:rsid w:val="FEF70EAF"/>
    <w:rsid w:val="FEFBFFFC"/>
    <w:rsid w:val="FF0BC192"/>
    <w:rsid w:val="FF6AF95D"/>
    <w:rsid w:val="FF7107D5"/>
    <w:rsid w:val="FF7BE0A3"/>
    <w:rsid w:val="FF7EEA10"/>
    <w:rsid w:val="FF7F45FC"/>
    <w:rsid w:val="FF7F8279"/>
    <w:rsid w:val="FF9D5F00"/>
    <w:rsid w:val="FFB7D06C"/>
    <w:rsid w:val="FFBADDF9"/>
    <w:rsid w:val="FFCB35FC"/>
    <w:rsid w:val="FFD79DE3"/>
    <w:rsid w:val="FFD923C4"/>
    <w:rsid w:val="FFE7AF29"/>
    <w:rsid w:val="FFEBD8E8"/>
    <w:rsid w:val="FFF76755"/>
    <w:rsid w:val="FFFF7E2E"/>
    <w:rsid w:val="FFFFA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2"/>
    <w:qFormat/>
    <w:uiPriority w:val="9"/>
    <w:pPr>
      <w:spacing w:line="580" w:lineRule="exact"/>
      <w:ind w:firstLine="200" w:firstLineChars="200"/>
      <w:outlineLvl w:val="0"/>
    </w:pPr>
    <w:rPr>
      <w:rFonts w:eastAsia="方正黑体简体"/>
      <w:b/>
      <w:bCs/>
      <w:kern w:val="44"/>
      <w:sz w:val="32"/>
      <w:szCs w:val="44"/>
    </w:rPr>
  </w:style>
  <w:style w:type="paragraph" w:styleId="4">
    <w:name w:val="heading 2"/>
    <w:basedOn w:val="1"/>
    <w:next w:val="1"/>
    <w:link w:val="23"/>
    <w:unhideWhenUsed/>
    <w:qFormat/>
    <w:uiPriority w:val="9"/>
    <w:pPr>
      <w:spacing w:line="580" w:lineRule="exact"/>
      <w:ind w:firstLine="200" w:firstLineChars="200"/>
      <w:outlineLvl w:val="1"/>
    </w:pPr>
    <w:rPr>
      <w:rFonts w:ascii="Calibri Light" w:hAnsi="Calibri Light" w:eastAsia="方正楷体简体"/>
      <w:b/>
      <w:bCs/>
      <w:sz w:val="30"/>
      <w:szCs w:val="32"/>
    </w:rPr>
  </w:style>
  <w:style w:type="paragraph" w:styleId="5">
    <w:name w:val="heading 3"/>
    <w:basedOn w:val="1"/>
    <w:next w:val="1"/>
    <w:link w:val="26"/>
    <w:semiHidden/>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Normal Indent"/>
    <w:basedOn w:val="1"/>
    <w:qFormat/>
    <w:uiPriority w:val="0"/>
    <w:rPr>
      <w:rFonts w:eastAsia="仿宋"/>
    </w:rPr>
  </w:style>
  <w:style w:type="paragraph" w:styleId="7">
    <w:name w:val="Body Text"/>
    <w:basedOn w:val="1"/>
    <w:link w:val="27"/>
    <w:qFormat/>
    <w:uiPriority w:val="0"/>
    <w:pPr>
      <w:spacing w:after="120"/>
    </w:pPr>
  </w:style>
  <w:style w:type="paragraph" w:styleId="8">
    <w:name w:val="Body Text Indent"/>
    <w:basedOn w:val="1"/>
    <w:next w:val="6"/>
    <w:qFormat/>
    <w:uiPriority w:val="0"/>
    <w:pPr>
      <w:ind w:firstLine="720"/>
    </w:pPr>
    <w:rPr>
      <w:rFonts w:eastAsia="黑体"/>
      <w:sz w:val="36"/>
    </w:rPr>
  </w:style>
  <w:style w:type="paragraph" w:styleId="9">
    <w:name w:val="Balloon Text"/>
    <w:basedOn w:val="1"/>
    <w:link w:val="19"/>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Autospacing="1" w:afterAutospacing="1"/>
      <w:jc w:val="left"/>
    </w:pPr>
    <w:rPr>
      <w:kern w:val="0"/>
      <w:sz w:val="24"/>
    </w:rPr>
  </w:style>
  <w:style w:type="paragraph" w:styleId="13">
    <w:name w:val="Body Text First Indent 2"/>
    <w:basedOn w:val="8"/>
    <w:qFormat/>
    <w:uiPriority w:val="0"/>
    <w:pPr>
      <w:ind w:firstLine="420"/>
    </w:pPr>
  </w:style>
  <w:style w:type="table" w:styleId="15">
    <w:name w:val="Table Grid"/>
    <w:basedOn w:val="14"/>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0"/>
    <w:rPr>
      <w:b/>
    </w:rPr>
  </w:style>
  <w:style w:type="paragraph" w:customStyle="1" w:styleId="18">
    <w:name w:val="Char"/>
    <w:basedOn w:val="1"/>
    <w:qFormat/>
    <w:uiPriority w:val="99"/>
    <w:pPr>
      <w:adjustRightInd w:val="0"/>
      <w:snapToGrid w:val="0"/>
      <w:spacing w:beforeLines="150" w:afterLines="100" w:line="360" w:lineRule="auto"/>
      <w:ind w:firstLine="192" w:firstLineChars="192"/>
    </w:pPr>
    <w:rPr>
      <w:szCs w:val="20"/>
    </w:rPr>
  </w:style>
  <w:style w:type="character" w:customStyle="1" w:styleId="19">
    <w:name w:val="批注框文本 Char"/>
    <w:link w:val="9"/>
    <w:qFormat/>
    <w:uiPriority w:val="0"/>
    <w:rPr>
      <w:kern w:val="2"/>
      <w:sz w:val="18"/>
      <w:szCs w:val="18"/>
    </w:rPr>
  </w:style>
  <w:style w:type="character" w:customStyle="1" w:styleId="20">
    <w:name w:val="001正文 Char"/>
    <w:link w:val="21"/>
    <w:qFormat/>
    <w:locked/>
    <w:uiPriority w:val="0"/>
    <w:rPr>
      <w:rFonts w:ascii="黑体" w:hAnsi="黑体"/>
      <w:color w:val="000000"/>
      <w:sz w:val="28"/>
    </w:rPr>
  </w:style>
  <w:style w:type="paragraph" w:customStyle="1" w:styleId="21">
    <w:name w:val="001正文"/>
    <w:basedOn w:val="1"/>
    <w:link w:val="20"/>
    <w:qFormat/>
    <w:uiPriority w:val="0"/>
    <w:pPr>
      <w:spacing w:line="360" w:lineRule="auto"/>
      <w:ind w:firstLine="200" w:firstLineChars="200"/>
    </w:pPr>
    <w:rPr>
      <w:rFonts w:ascii="黑体" w:hAnsi="黑体"/>
      <w:color w:val="000000"/>
      <w:kern w:val="0"/>
      <w:sz w:val="28"/>
      <w:szCs w:val="20"/>
    </w:rPr>
  </w:style>
  <w:style w:type="character" w:customStyle="1" w:styleId="22">
    <w:name w:val="标题 1 Char"/>
    <w:link w:val="3"/>
    <w:qFormat/>
    <w:uiPriority w:val="9"/>
    <w:rPr>
      <w:rFonts w:ascii="Calibri" w:hAnsi="Calibri" w:eastAsia="方正黑体简体"/>
      <w:b/>
      <w:bCs/>
      <w:kern w:val="44"/>
      <w:sz w:val="32"/>
      <w:szCs w:val="44"/>
    </w:rPr>
  </w:style>
  <w:style w:type="character" w:customStyle="1" w:styleId="23">
    <w:name w:val="标题 2 Char"/>
    <w:link w:val="4"/>
    <w:qFormat/>
    <w:uiPriority w:val="9"/>
    <w:rPr>
      <w:rFonts w:ascii="Calibri Light" w:hAnsi="Calibri Light" w:eastAsia="方正楷体简体"/>
      <w:b/>
      <w:bCs/>
      <w:kern w:val="2"/>
      <w:sz w:val="30"/>
      <w:szCs w:val="32"/>
    </w:rPr>
  </w:style>
  <w:style w:type="character" w:customStyle="1" w:styleId="24">
    <w:name w:val="页眉 Char"/>
    <w:link w:val="11"/>
    <w:qFormat/>
    <w:uiPriority w:val="0"/>
    <w:rPr>
      <w:kern w:val="2"/>
      <w:sz w:val="18"/>
      <w:szCs w:val="18"/>
    </w:rPr>
  </w:style>
  <w:style w:type="character" w:customStyle="1" w:styleId="25">
    <w:name w:val="页脚 Char"/>
    <w:link w:val="10"/>
    <w:qFormat/>
    <w:uiPriority w:val="0"/>
    <w:rPr>
      <w:kern w:val="2"/>
      <w:sz w:val="18"/>
      <w:szCs w:val="18"/>
    </w:rPr>
  </w:style>
  <w:style w:type="character" w:customStyle="1" w:styleId="26">
    <w:name w:val="标题 3 Char"/>
    <w:link w:val="5"/>
    <w:semiHidden/>
    <w:qFormat/>
    <w:uiPriority w:val="0"/>
    <w:rPr>
      <w:b/>
      <w:bCs/>
      <w:kern w:val="2"/>
      <w:sz w:val="32"/>
      <w:szCs w:val="32"/>
    </w:rPr>
  </w:style>
  <w:style w:type="character" w:customStyle="1" w:styleId="27">
    <w:name w:val="正文文本 Char"/>
    <w:link w:val="7"/>
    <w:qFormat/>
    <w:uiPriority w:val="0"/>
    <w:rPr>
      <w:kern w:val="2"/>
      <w:sz w:val="21"/>
      <w:szCs w:val="22"/>
    </w:rPr>
  </w:style>
  <w:style w:type="paragraph" w:customStyle="1" w:styleId="28">
    <w:name w:val="01表格文字"/>
    <w:basedOn w:val="1"/>
    <w:link w:val="29"/>
    <w:qFormat/>
    <w:uiPriority w:val="0"/>
    <w:pPr>
      <w:adjustRightInd w:val="0"/>
      <w:jc w:val="center"/>
    </w:pPr>
    <w:rPr>
      <w:rFonts w:ascii="宋体" w:hAnsi="宋体"/>
      <w:sz w:val="24"/>
      <w:szCs w:val="24"/>
    </w:rPr>
  </w:style>
  <w:style w:type="character" w:customStyle="1" w:styleId="29">
    <w:name w:val="01表格文字 Char"/>
    <w:link w:val="28"/>
    <w:qFormat/>
    <w:uiPriority w:val="0"/>
    <w:rPr>
      <w:rFonts w:ascii="宋体" w:hAnsi="宋体"/>
      <w:kern w:val="2"/>
      <w:sz w:val="24"/>
      <w:szCs w:val="24"/>
    </w:rPr>
  </w:style>
  <w:style w:type="paragraph" w:customStyle="1" w:styleId="30">
    <w:name w:val="正文-常务会议"/>
    <w:basedOn w:val="1"/>
    <w:link w:val="31"/>
    <w:qFormat/>
    <w:uiPriority w:val="0"/>
    <w:pPr>
      <w:spacing w:line="580" w:lineRule="exact"/>
      <w:ind w:firstLine="200" w:firstLineChars="200"/>
    </w:pPr>
    <w:rPr>
      <w:rFonts w:ascii="Times New Roman" w:hAnsi="Times New Roman" w:eastAsia="仿宋_GB2312" w:cs="仿宋_GB2312"/>
      <w:sz w:val="32"/>
      <w:szCs w:val="32"/>
    </w:rPr>
  </w:style>
  <w:style w:type="character" w:customStyle="1" w:styleId="31">
    <w:name w:val="正文-常务会议 Char"/>
    <w:basedOn w:val="16"/>
    <w:link w:val="30"/>
    <w:qFormat/>
    <w:uiPriority w:val="0"/>
    <w:rPr>
      <w:rFonts w:eastAsia="仿宋_GB2312" w:cs="仿宋_GB2312"/>
      <w:kern w:val="2"/>
      <w:sz w:val="32"/>
      <w:szCs w:val="32"/>
    </w:rPr>
  </w:style>
  <w:style w:type="paragraph" w:customStyle="1" w:styleId="32">
    <w:name w:val="002表格题注"/>
    <w:basedOn w:val="1"/>
    <w:link w:val="33"/>
    <w:qFormat/>
    <w:uiPriority w:val="0"/>
    <w:pPr>
      <w:spacing w:line="580" w:lineRule="exact"/>
      <w:jc w:val="center"/>
    </w:pPr>
    <w:rPr>
      <w:rFonts w:ascii="仿宋_GB2312" w:hAnsi="仿宋_GB2312" w:eastAsia="仿宋_GB2312" w:cs="仿宋_GB2312"/>
      <w:b/>
      <w:sz w:val="32"/>
      <w:szCs w:val="32"/>
    </w:rPr>
  </w:style>
  <w:style w:type="character" w:customStyle="1" w:styleId="33">
    <w:name w:val="002表格题注 Char"/>
    <w:link w:val="32"/>
    <w:qFormat/>
    <w:uiPriority w:val="0"/>
    <w:rPr>
      <w:rFonts w:ascii="仿宋_GB2312" w:hAnsi="仿宋_GB2312" w:eastAsia="仿宋_GB2312" w:cs="仿宋_GB2312"/>
      <w:b/>
      <w:kern w:val="2"/>
      <w:sz w:val="32"/>
      <w:szCs w:val="32"/>
    </w:rPr>
  </w:style>
  <w:style w:type="table" w:customStyle="1" w:styleId="34">
    <w:name w:val="网格型1"/>
    <w:basedOn w:val="14"/>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bjh-p"/>
    <w:basedOn w:val="16"/>
    <w:qFormat/>
    <w:uiPriority w:val="0"/>
  </w:style>
  <w:style w:type="paragraph" w:customStyle="1" w:styleId="36">
    <w:name w:val="p0"/>
    <w:qFormat/>
    <w:uiPriority w:val="0"/>
    <w:pPr>
      <w:spacing w:line="560" w:lineRule="exact"/>
      <w:ind w:firstLine="720" w:firstLineChars="200"/>
    </w:pPr>
    <w:rPr>
      <w:rFonts w:ascii="Times New Roman" w:hAnsi="Times New Roman" w:eastAsia="仿宋_GB2312" w:cs="Times New Roman"/>
      <w:sz w:val="32"/>
      <w:szCs w:val="32"/>
      <w:lang w:val="en-US" w:eastAsia="zh-CN" w:bidi="ar-SA"/>
    </w:rPr>
  </w:style>
  <w:style w:type="character" w:customStyle="1" w:styleId="37">
    <w:name w:val="font31"/>
    <w:basedOn w:val="16"/>
    <w:qFormat/>
    <w:uiPriority w:val="0"/>
    <w:rPr>
      <w:rFonts w:hint="default" w:ascii="等线" w:hAnsi="等线" w:eastAsia="等线" w:cs="等线"/>
      <w:color w:val="000000"/>
      <w:sz w:val="24"/>
      <w:szCs w:val="24"/>
      <w:u w:val="none"/>
    </w:rPr>
  </w:style>
  <w:style w:type="character" w:customStyle="1" w:styleId="38">
    <w:name w:val="font01"/>
    <w:basedOn w:val="16"/>
    <w:qFormat/>
    <w:uiPriority w:val="0"/>
    <w:rPr>
      <w:rFonts w:ascii="Segoe UI Symbol" w:hAnsi="Segoe UI Symbol" w:eastAsia="Segoe UI Symbol" w:cs="Segoe UI Symbo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481</Words>
  <Characters>2742</Characters>
  <Lines>22</Lines>
  <Paragraphs>6</Paragraphs>
  <TotalTime>20</TotalTime>
  <ScaleCrop>false</ScaleCrop>
  <LinksUpToDate>false</LinksUpToDate>
  <CharactersWithSpaces>3217</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2023-05-22T14:06:00Z</dcterms:created>
  <dc:creator>huawei</dc:creator>
  <cp:lastModifiedBy>huawei</cp:lastModifiedBy>
  <cp:lastPrinted>2022-05-26T03:30:00Z</cp:lastPrinted>
  <dcterms:modified xsi:type="dcterms:W3CDTF">2023-05-31T17:10:58Z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264297BB2175EEC7980B7764BE8CC326</vt:lpwstr>
  </property>
</Properties>
</file>