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auto"/>
          <w:sz w:val="32"/>
          <w:szCs w:val="32"/>
          <w:highlight w:val="none"/>
        </w:rPr>
      </w:pPr>
      <w:bookmarkStart w:id="0" w:name="_GoBack"/>
      <w:bookmarkEnd w:id="0"/>
      <w:r>
        <w:rPr>
          <w:rFonts w:hint="eastAsia" w:ascii="黑体" w:hAnsi="黑体" w:eastAsia="黑体"/>
          <w:color w:val="auto"/>
          <w:sz w:val="32"/>
          <w:szCs w:val="32"/>
          <w:highlight w:val="none"/>
        </w:rPr>
        <w:t>附件</w:t>
      </w:r>
    </w:p>
    <w:p>
      <w:pPr>
        <w:adjustRightInd w:val="0"/>
        <w:snapToGrid w:val="0"/>
        <w:rPr>
          <w:rFonts w:ascii="仿宋_GB2312" w:hAnsi="黑体" w:eastAsia="仿宋_GB2312" w:cs="黑体"/>
          <w:color w:val="auto"/>
          <w:sz w:val="32"/>
          <w:szCs w:val="32"/>
          <w:highlight w:val="none"/>
        </w:rPr>
      </w:pPr>
    </w:p>
    <w:p>
      <w:pPr>
        <w:adjustRightInd w:val="0"/>
        <w:snapToGrid w:val="0"/>
        <w:jc w:val="center"/>
        <w:rPr>
          <w:rFonts w:ascii="方正小标宋简体" w:hAnsi="黑体" w:eastAsia="方正小标宋简体" w:cs="黑体"/>
          <w:color w:val="auto"/>
          <w:sz w:val="44"/>
          <w:szCs w:val="44"/>
          <w:highlight w:val="none"/>
        </w:rPr>
      </w:pPr>
      <w:r>
        <w:rPr>
          <w:rFonts w:hint="eastAsia" w:ascii="方正小标宋简体" w:hAnsi="黑体" w:eastAsia="方正小标宋简体" w:cs="黑体"/>
          <w:color w:val="auto"/>
          <w:sz w:val="44"/>
          <w:szCs w:val="44"/>
          <w:highlight w:val="none"/>
        </w:rPr>
        <w:t>宁波市</w:t>
      </w:r>
      <w:r>
        <w:rPr>
          <w:rFonts w:hint="default" w:ascii="方正小标宋简体" w:hAnsi="黑体" w:eastAsia="方正小标宋简体" w:cs="黑体"/>
          <w:color w:val="auto"/>
          <w:sz w:val="44"/>
          <w:szCs w:val="44"/>
          <w:highlight w:val="none"/>
        </w:rPr>
        <w:t>经信</w:t>
      </w:r>
      <w:r>
        <w:rPr>
          <w:rFonts w:hint="eastAsia" w:ascii="方正小标宋简体" w:hAnsi="黑体" w:eastAsia="方正小标宋简体" w:cs="黑体"/>
          <w:color w:val="auto"/>
          <w:sz w:val="44"/>
          <w:szCs w:val="44"/>
          <w:highlight w:val="none"/>
        </w:rPr>
        <w:t>局规章、规范性文件以及其他政策措施公平竞争审查目录</w:t>
      </w:r>
    </w:p>
    <w:p>
      <w:pPr>
        <w:adjustRightInd w:val="0"/>
        <w:snapToGrid w:val="0"/>
        <w:jc w:val="left"/>
        <w:rPr>
          <w:rFonts w:ascii="仿宋_GB2312" w:hAnsi="黑体" w:eastAsia="仿宋_GB2312" w:cs="黑体"/>
          <w:color w:val="FF0000"/>
          <w:sz w:val="28"/>
          <w:szCs w:val="28"/>
          <w:u w:val="single"/>
        </w:rPr>
      </w:pPr>
      <w:r>
        <w:rPr>
          <w:rFonts w:hint="eastAsia" w:ascii="仿宋_GB2312" w:hAnsi="黑体" w:eastAsia="仿宋_GB2312" w:cs="黑体"/>
          <w:color w:val="FF0000"/>
          <w:sz w:val="28"/>
          <w:szCs w:val="28"/>
        </w:rPr>
        <w:t xml:space="preserve">                              </w:t>
      </w:r>
    </w:p>
    <w:tbl>
      <w:tblPr>
        <w:tblStyle w:val="6"/>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376"/>
        <w:gridCol w:w="2869"/>
        <w:gridCol w:w="1857"/>
        <w:gridCol w:w="3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kern w:val="0"/>
                <w:sz w:val="24"/>
                <w:szCs w:val="24"/>
              </w:rPr>
              <w:t>序号</w:t>
            </w:r>
          </w:p>
        </w:tc>
        <w:tc>
          <w:tcPr>
            <w:tcW w:w="5376"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名  称</w:t>
            </w:r>
            <w:r>
              <w:rPr>
                <w:rFonts w:hint="eastAsia" w:asciiTheme="minorEastAsia" w:hAnsiTheme="minorEastAsia" w:eastAsiaTheme="minorEastAsia" w:cstheme="minorEastAsia"/>
                <w:b/>
                <w:bCs/>
                <w:kern w:val="0"/>
                <w:sz w:val="24"/>
                <w:szCs w:val="24"/>
                <w:lang w:val="en-US" w:eastAsia="zh-CN"/>
              </w:rPr>
              <w:t xml:space="preserve"> </w:t>
            </w:r>
          </w:p>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kern w:val="0"/>
                <w:sz w:val="24"/>
                <w:szCs w:val="24"/>
              </w:rPr>
              <w:t>（法规除外）</w:t>
            </w:r>
          </w:p>
        </w:tc>
        <w:tc>
          <w:tcPr>
            <w:tcW w:w="286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lang w:val="en-US" w:eastAsia="zh-Hans"/>
              </w:rPr>
            </w:pPr>
            <w:r>
              <w:rPr>
                <w:rFonts w:hint="eastAsia" w:asciiTheme="minorEastAsia" w:hAnsiTheme="minorEastAsia" w:eastAsiaTheme="minorEastAsia" w:cstheme="minorEastAsia"/>
                <w:b/>
                <w:bCs/>
                <w:kern w:val="0"/>
                <w:sz w:val="24"/>
                <w:szCs w:val="24"/>
                <w:lang w:val="en-US" w:eastAsia="zh-Hans"/>
              </w:rPr>
              <w:t>文</w:t>
            </w:r>
            <w:r>
              <w:rPr>
                <w:rFonts w:hint="default" w:asciiTheme="minorEastAsia" w:hAnsiTheme="minorEastAsia" w:eastAsiaTheme="minorEastAsia" w:cstheme="minorEastAsia"/>
                <w:b/>
                <w:bCs/>
                <w:kern w:val="0"/>
                <w:sz w:val="24"/>
                <w:szCs w:val="24"/>
                <w:lang w:eastAsia="zh-Hans"/>
              </w:rPr>
              <w:t xml:space="preserve"> </w:t>
            </w:r>
            <w:r>
              <w:rPr>
                <w:rFonts w:hint="eastAsia" w:asciiTheme="minorEastAsia" w:hAnsiTheme="minorEastAsia" w:eastAsiaTheme="minorEastAsia" w:cstheme="minorEastAsia"/>
                <w:b/>
                <w:bCs/>
                <w:kern w:val="0"/>
                <w:sz w:val="24"/>
                <w:szCs w:val="24"/>
                <w:lang w:val="en-US" w:eastAsia="zh-Hans"/>
              </w:rPr>
              <w:t>号</w:t>
            </w:r>
          </w:p>
        </w:tc>
        <w:tc>
          <w:tcPr>
            <w:tcW w:w="1857"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r>
              <w:rPr>
                <w:rFonts w:hint="default" w:asciiTheme="minorEastAsia" w:hAnsiTheme="minorEastAsia" w:eastAsiaTheme="minorEastAsia" w:cstheme="minorEastAsia"/>
                <w:b/>
                <w:color w:val="000000"/>
                <w:kern w:val="0"/>
                <w:sz w:val="24"/>
                <w:szCs w:val="24"/>
              </w:rPr>
              <w:t>（规章、规范性文件以及其他政策）</w:t>
            </w:r>
          </w:p>
        </w:tc>
        <w:tc>
          <w:tcPr>
            <w:tcW w:w="3699" w:type="dxa"/>
            <w:shd w:val="clear" w:color="auto" w:fill="auto"/>
            <w:tcMar>
              <w:top w:w="15" w:type="dxa"/>
              <w:left w:w="15" w:type="dxa"/>
              <w:right w:w="15" w:type="dxa"/>
            </w:tcMar>
            <w:vAlign w:val="center"/>
          </w:tcPr>
          <w:p>
            <w:pPr>
              <w:widowControl/>
              <w:jc w:val="center"/>
              <w:textAlignment w:val="bottom"/>
              <w:rPr>
                <w:rFonts w:hint="eastAsia" w:ascii="仿宋" w:hAnsi="仿宋" w:eastAsia="仿宋" w:cs="仿宋"/>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color w:val="000000"/>
                <w:sz w:val="24"/>
                <w:szCs w:val="24"/>
              </w:rPr>
              <w:t>1</w:t>
            </w:r>
          </w:p>
        </w:tc>
        <w:tc>
          <w:tcPr>
            <w:tcW w:w="5376" w:type="dxa"/>
            <w:shd w:val="clear" w:color="auto" w:fill="auto"/>
            <w:tcMar>
              <w:top w:w="15" w:type="dxa"/>
              <w:left w:w="15" w:type="dxa"/>
              <w:right w:w="15" w:type="dxa"/>
            </w:tcMar>
            <w:vAlign w:val="center"/>
          </w:tcPr>
          <w:p>
            <w:pPr>
              <w:spacing w:line="320" w:lineRule="exact"/>
              <w:jc w:val="both"/>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《关于印发宁波市传统工艺美术保护规定的通知》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甬政发〔2009〕69号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color w:val="000000"/>
                <w:sz w:val="24"/>
                <w:szCs w:val="24"/>
              </w:rPr>
              <w:t>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《关于印发宁波市建设行业企业技术中心管理办法的通知》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甬经信高新〔2011〕223号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color w:val="000000"/>
                <w:sz w:val="24"/>
                <w:szCs w:val="24"/>
              </w:rPr>
              <w:t>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《关于进一步规范我市住宅小区及商住楼网络基础设施建设工作的通知》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甬经信信安〔2012〕148号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《关于促进小微企业转型升级为规模以上企业的实施意见》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甬政办发[2014]9号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《关于印发《宁波市光伏发电补贴资金管理办法》的通知》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甬经信电子〔2014〕282号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《关于推进宁波市工业企业“零土地”技术改造项目审批方式改革的实施意见》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甬经信技改〔2015〕143号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val="en-US" w:eastAsia="zh-Hans"/>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《关于宁波市光伏发电补贴政策延期的通知》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甬经信电子〔2016〕13号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《关于进一步加快推进无线宽带网络建设的实施意见》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甬政办发〔2016〕66号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《关于印发宁波市食盐储备管理暂行办法的通知》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甬政办发[2017]125号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color w:val="000000"/>
                <w:sz w:val="24"/>
                <w:szCs w:val="24"/>
              </w:rPr>
              <w:t>1</w:t>
            </w:r>
            <w:r>
              <w:rPr>
                <w:rFonts w:hint="default" w:ascii="仿宋" w:hAnsi="仿宋" w:eastAsia="仿宋" w:cs="仿宋"/>
                <w:b/>
                <w:bCs/>
                <w:color w:val="000000"/>
                <w:sz w:val="24"/>
                <w:szCs w:val="24"/>
              </w:rPr>
              <w:t>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《关于印发宁波市小微企业创业创新基地备案和评价管理办法的通知》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甬经信中小〔2017〕168号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sz w:val="24"/>
                <w:szCs w:val="24"/>
              </w:rPr>
              <w:t>1</w:t>
            </w:r>
            <w:r>
              <w:rPr>
                <w:rFonts w:hint="default" w:ascii="仿宋" w:hAnsi="仿宋" w:eastAsia="仿宋" w:cs="仿宋"/>
                <w:b/>
                <w:bCs/>
                <w:sz w:val="24"/>
                <w:szCs w:val="24"/>
              </w:rPr>
              <w:t>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《关于印发宁波市推进城镇人口密集区危险化学品生产企业搬迁改造实施方案的通知》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甬政办发〔2018〕45号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eastAsia" w:ascii="仿宋" w:hAnsi="仿宋" w:eastAsia="仿宋" w:cs="仿宋"/>
                <w:b/>
                <w:bCs/>
                <w:sz w:val="24"/>
                <w:szCs w:val="24"/>
              </w:rPr>
              <w:t>1</w:t>
            </w:r>
            <w:r>
              <w:rPr>
                <w:rFonts w:hint="default" w:ascii="仿宋" w:hAnsi="仿宋" w:eastAsia="仿宋" w:cs="仿宋"/>
                <w:b/>
                <w:bCs/>
                <w:sz w:val="24"/>
                <w:szCs w:val="24"/>
              </w:rPr>
              <w:t>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《关于深化“亩均论英雄”改革的实施意见》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甬政发〔2018〕55号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仿宋" w:hAnsi="仿宋" w:eastAsia="仿宋" w:cs="仿宋"/>
                <w:b/>
                <w:bCs/>
                <w:sz w:val="24"/>
                <w:szCs w:val="24"/>
              </w:rPr>
              <w:t>13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《关于创建特色型中国软件名城的实施意见》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甬政办发〔2018〕115号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ascii="仿宋" w:hAnsi="仿宋" w:eastAsia="仿宋" w:cs="仿宋"/>
                <w:sz w:val="24"/>
                <w:szCs w:val="24"/>
                <w:highlight w:val="none"/>
              </w:rPr>
            </w:pPr>
            <w:r>
              <w:rPr>
                <w:rFonts w:hint="eastAsia" w:ascii="仿宋" w:hAnsi="仿宋" w:eastAsia="仿宋"/>
                <w:color w:val="000000"/>
                <w:sz w:val="24"/>
              </w:rPr>
              <w:t>经审查无排除限制竞争问题的文件</w:t>
            </w:r>
          </w:p>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14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《关于进一步推进降本减负促进实体经济稳增长的若干意见》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甬政办发〔2018〕125号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15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《关于修订印发《宁波市智能装备首台（套）和新材料首批次应用保险补贴工作实施办法（试行）》的通知》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甬经信原材料〔2018〕142号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16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《关于加强市中小企业公共服务平台网络运行管理的若干意见》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甬经信企服〔2018〕198号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17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《关于印发宁波市“四基”重点领域单项冠军产品产业链培育实施方案的通知》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甬工推进办〔2019〕5号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18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《宁波市小微企业融资担保业务降费奖补实施细则》</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甬经信中小〔2019〕25号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19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《宁波市小微企业园工业地产发展管理细则（试行）》</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甬工强办〔2019〕4号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rPr>
              <w:t>拟修订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color w:val="000000"/>
                <w:sz w:val="24"/>
                <w:szCs w:val="24"/>
              </w:rPr>
              <w:t>20</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《宁波市绿色制造体系建设实施方案》</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甬经信转升〔2019〕105号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color w:val="000000"/>
                <w:sz w:val="24"/>
                <w:szCs w:val="24"/>
              </w:rPr>
              <w:t>21</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《宁波市绿色制造专项资金使用实施细则》</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rPr>
              <w:t>甬经信转升〔2019〕118号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ascii="仿宋" w:hAnsi="仿宋" w:eastAsia="仿宋" w:cs="仿宋"/>
                <w:b/>
                <w:bCs/>
                <w:color w:val="000000"/>
                <w:sz w:val="24"/>
                <w:szCs w:val="24"/>
              </w:rPr>
              <w:t>22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bCs/>
                <w:kern w:val="36"/>
                <w:sz w:val="24"/>
                <w:szCs w:val="24"/>
                <w:highlight w:val="none"/>
              </w:rPr>
              <w:t>关于印发《宁波市“创客中国”中小企业创新创业大赛专项资金使用管理实施细则》的通知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甬经信中小〔2019〕1</w:t>
            </w:r>
            <w:r>
              <w:rPr>
                <w:rFonts w:hint="default" w:ascii="仿宋" w:hAnsi="仿宋" w:eastAsia="仿宋" w:cs="仿宋"/>
                <w:color w:val="000000"/>
                <w:sz w:val="24"/>
                <w:szCs w:val="24"/>
                <w:highlight w:val="none"/>
              </w:rPr>
              <w:t>06</w:t>
            </w:r>
            <w:r>
              <w:rPr>
                <w:rFonts w:hint="eastAsia" w:ascii="仿宋" w:hAnsi="仿宋" w:eastAsia="仿宋" w:cs="仿宋"/>
                <w:color w:val="000000"/>
                <w:sz w:val="24"/>
                <w:szCs w:val="24"/>
                <w:highlight w:val="none"/>
              </w:rPr>
              <w:t>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color w:val="000000"/>
                <w:sz w:val="24"/>
                <w:szCs w:val="24"/>
              </w:rPr>
              <w:t>23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default" w:ascii="仿宋" w:hAnsi="仿宋" w:eastAsia="仿宋"/>
                <w:bCs/>
                <w:kern w:val="36"/>
                <w:sz w:val="24"/>
                <w:szCs w:val="24"/>
                <w:highlight w:val="none"/>
              </w:rPr>
              <w:t>《</w:t>
            </w:r>
            <w:r>
              <w:rPr>
                <w:rFonts w:hint="eastAsia" w:ascii="仿宋" w:hAnsi="仿宋" w:eastAsia="仿宋"/>
                <w:bCs/>
                <w:kern w:val="36"/>
                <w:sz w:val="24"/>
                <w:szCs w:val="24"/>
                <w:highlight w:val="none"/>
              </w:rPr>
              <w:t>宁波市人民政府办公厅关于推进5G通信基础设施建设的实施意见</w:t>
            </w:r>
            <w:r>
              <w:rPr>
                <w:rFonts w:hint="default" w:ascii="仿宋" w:hAnsi="仿宋" w:eastAsia="仿宋"/>
                <w:bCs/>
                <w:kern w:val="36"/>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甬政办发〔2019〕76号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highlight w:val="none"/>
              </w:rPr>
            </w:pPr>
            <w:r>
              <w:rPr>
                <w:rFonts w:ascii="仿宋" w:hAnsi="仿宋" w:eastAsia="仿宋" w:cs="仿宋"/>
                <w:b/>
                <w:bCs/>
                <w:color w:val="000000"/>
                <w:sz w:val="24"/>
                <w:szCs w:val="24"/>
                <w:highlight w:val="none"/>
              </w:rPr>
              <w:t>24</w:t>
            </w:r>
          </w:p>
        </w:tc>
        <w:tc>
          <w:tcPr>
            <w:tcW w:w="5376"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宁波市人民政府办公厅</w:t>
            </w:r>
            <w:r>
              <w:rPr>
                <w:rFonts w:hint="eastAsia" w:ascii="仿宋" w:hAnsi="仿宋" w:eastAsia="仿宋" w:cs="仿宋"/>
                <w:color w:val="000000"/>
                <w:sz w:val="24"/>
                <w:szCs w:val="24"/>
                <w:highlight w:val="none"/>
              </w:rPr>
              <w:t>关于加快推进生物医药产业发展</w:t>
            </w:r>
            <w:r>
              <w:rPr>
                <w:rFonts w:hint="eastAsia" w:ascii="仿宋" w:hAnsi="仿宋" w:eastAsia="仿宋" w:cs="仿宋"/>
                <w:color w:val="000000"/>
                <w:sz w:val="24"/>
                <w:szCs w:val="24"/>
                <w:highlight w:val="none"/>
                <w:lang w:eastAsia="zh-CN"/>
              </w:rPr>
              <w:t>的意见</w:t>
            </w:r>
            <w:r>
              <w:rPr>
                <w:rFonts w:hint="eastAsia" w:ascii="仿宋" w:hAnsi="仿宋" w:eastAsia="仿宋" w:cs="仿宋"/>
                <w:color w:val="000000"/>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甬政办发〔</w:t>
            </w:r>
            <w:r>
              <w:rPr>
                <w:rFonts w:hint="eastAsia" w:ascii="仿宋" w:hAnsi="仿宋" w:eastAsia="仿宋" w:cs="仿宋"/>
                <w:color w:val="000000"/>
                <w:sz w:val="24"/>
                <w:szCs w:val="24"/>
                <w:highlight w:val="none"/>
                <w:lang w:val="en-US" w:eastAsia="zh-CN"/>
              </w:rPr>
              <w:t>2020</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50</w:t>
            </w:r>
            <w:r>
              <w:rPr>
                <w:rFonts w:hint="eastAsia" w:ascii="仿宋" w:hAnsi="仿宋" w:eastAsia="仿宋" w:cs="仿宋"/>
                <w:color w:val="000000"/>
                <w:sz w:val="24"/>
                <w:szCs w:val="24"/>
                <w:highlight w:val="none"/>
              </w:rPr>
              <w:t>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有效</w:t>
            </w:r>
            <w:r>
              <w:rPr>
                <w:rFonts w:hint="default"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lang w:val="en-US" w:eastAsia="zh-Hans"/>
              </w:rPr>
              <w:t>拟修订</w:t>
            </w:r>
            <w:r>
              <w:rPr>
                <w:rFonts w:hint="default" w:ascii="仿宋" w:hAnsi="仿宋" w:eastAsia="仿宋" w:cs="仿宋"/>
                <w:color w:val="00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仿宋" w:hAnsi="仿宋" w:eastAsia="仿宋" w:cs="仿宋"/>
                <w:b/>
                <w:bCs/>
                <w:color w:val="000000"/>
                <w:sz w:val="24"/>
                <w:szCs w:val="24"/>
              </w:rPr>
              <w:t>25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《宁波市高端装备首台（套）新材料首批次软件首版次应用保险补贴工作实施办法》</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甬经信化材〔2020〕169号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26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《宁波市高端装备制造业重点领域首台（套）产品认定管理办法》</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甬经信装备〔2020〕171号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rPr>
              <w:t>27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highlight w:val="none"/>
              </w:rPr>
            </w:pPr>
            <w:r>
              <w:rPr>
                <w:rFonts w:hint="eastAsia" w:ascii="仿宋" w:hAnsi="仿宋" w:eastAsia="仿宋" w:cs="仿宋"/>
                <w:sz w:val="24"/>
                <w:szCs w:val="24"/>
                <w:highlight w:val="none"/>
              </w:rPr>
              <w:t>《宁波市加快推进生物医药产业发展若干政策措施的操作细则》</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甬经信服新〔202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〕1</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eastAsia="zh-CN"/>
              </w:rPr>
              <w:t>号</w:t>
            </w:r>
          </w:p>
          <w:p>
            <w:pPr>
              <w:spacing w:line="320" w:lineRule="exact"/>
              <w:jc w:val="left"/>
              <w:rPr>
                <w:rFonts w:hint="eastAsia" w:asciiTheme="minorEastAsia" w:hAnsiTheme="minorEastAsia" w:eastAsiaTheme="minorEastAsia" w:cstheme="minorEastAsia"/>
                <w:b w:val="0"/>
                <w:bCs w:val="0"/>
                <w:kern w:val="0"/>
                <w:sz w:val="24"/>
                <w:szCs w:val="24"/>
                <w:highlight w:val="none"/>
              </w:rPr>
            </w:pPr>
          </w:p>
        </w:tc>
        <w:tc>
          <w:tcPr>
            <w:tcW w:w="1857"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color w:val="000000"/>
                <w:kern w:val="0"/>
                <w:sz w:val="24"/>
                <w:szCs w:val="24"/>
                <w:highlight w:val="none"/>
              </w:rPr>
            </w:pPr>
            <w:r>
              <w:rPr>
                <w:rFonts w:hint="eastAsia" w:ascii="仿宋" w:hAnsi="仿宋" w:eastAsia="仿宋" w:cs="仿宋"/>
                <w:sz w:val="24"/>
                <w:szCs w:val="24"/>
                <w:highlight w:val="none"/>
              </w:rPr>
              <w:t>其他政策性措施</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28</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《关于印发&lt;宁波市促进企业智慧用电实施方案&gt;的通知》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甬经信信智〔2021〕27号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29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《关于发布&lt;宁波市“246”万千亿级产业集群和前沿产业投资导向目录（2021年本）&gt;和&lt;宁波市重点培育产业链投资导向目录（2021年本）&gt;的通知》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甬经信投技〔2021〕46号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《宁波市加快推进服务型制造发展的实施意见》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甬经信服新〔2021〕48号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31</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《关于修订&lt;宁波市创建特色型中国软件名城实施细则&gt;的通知》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甬经信软〔2021〕50号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32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《关于印发&lt;宁波市产业投资和智能制造项目管理实施办法（试行）&gt;的通知》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甬经信投技〔2021〕90号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33</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《关于印发&lt;宁波市制造业高质量发展专项资金管理办法&gt;的通知》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甬经信财〔2021〕91号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ascii="仿宋" w:hAnsi="仿宋" w:eastAsia="仿宋" w:cs="仿宋"/>
                <w:b/>
                <w:bCs/>
                <w:sz w:val="24"/>
                <w:szCs w:val="24"/>
              </w:rPr>
              <w:t>34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highlight w:val="none"/>
              </w:rPr>
              <w:t>《关于印发&lt;宁波市中小企业发展专项资金管理办法&gt;的通知》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highlight w:val="none"/>
              </w:rPr>
              <w:t>甬经信财〔2021〕92号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highlight w:val="none"/>
              </w:rPr>
              <w:t>《关于印发&lt;宁波市加快集成电路产业发展的若干政策&gt;的通知》》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highlight w:val="none"/>
              </w:rPr>
              <w:t>甬经信数经〔2021〕93号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default" w:ascii="仿宋" w:hAnsi="仿宋" w:eastAsia="仿宋" w:cs="仿宋"/>
                <w:sz w:val="24"/>
                <w:szCs w:val="24"/>
                <w:highlight w:val="none"/>
              </w:rPr>
              <w:t>《</w:t>
            </w:r>
            <w:r>
              <w:rPr>
                <w:rFonts w:hint="eastAsia" w:ascii="仿宋" w:hAnsi="仿宋" w:eastAsia="仿宋" w:cs="仿宋"/>
                <w:sz w:val="24"/>
                <w:szCs w:val="24"/>
                <w:highlight w:val="none"/>
              </w:rPr>
              <w:t>宁波市人民政府办公厅关于加快培育制造业百强企业的实施意见</w:t>
            </w:r>
            <w:r>
              <w:rPr>
                <w:rFonts w:hint="default" w:ascii="仿宋" w:hAnsi="仿宋" w:eastAsia="仿宋" w:cs="仿宋"/>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甬政办发〔2021〕39号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37</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rPr>
              <w:t>《</w:t>
            </w:r>
            <w:r>
              <w:rPr>
                <w:rFonts w:hint="eastAsia" w:ascii="仿宋" w:hAnsi="仿宋" w:eastAsia="仿宋" w:cs="仿宋"/>
                <w:sz w:val="24"/>
                <w:szCs w:val="24"/>
              </w:rPr>
              <w:t>宁波市工业和信息化统计工作管理办法</w:t>
            </w:r>
            <w:r>
              <w:rPr>
                <w:rFonts w:ascii="仿宋" w:hAnsi="仿宋" w:eastAsia="仿宋" w:cs="仿宋"/>
                <w:sz w:val="24"/>
                <w:szCs w:val="24"/>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rPr>
              <w:t>甬经信经运〔2021〕128号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38</w:t>
            </w:r>
          </w:p>
        </w:tc>
        <w:tc>
          <w:tcPr>
            <w:tcW w:w="5376" w:type="dxa"/>
            <w:shd w:val="clear" w:color="auto" w:fill="auto"/>
            <w:tcMar>
              <w:top w:w="15" w:type="dxa"/>
              <w:left w:w="15" w:type="dxa"/>
              <w:right w:w="15" w:type="dxa"/>
            </w:tcMar>
            <w:vAlign w:val="top"/>
          </w:tcPr>
          <w:p>
            <w:pPr>
              <w:spacing w:line="320" w:lineRule="exact"/>
              <w:jc w:val="left"/>
              <w:rPr>
                <w:rFonts w:ascii="仿宋" w:hAnsi="仿宋" w:eastAsia="仿宋" w:cs="仿宋"/>
                <w:sz w:val="24"/>
                <w:szCs w:val="24"/>
              </w:rPr>
            </w:pPr>
            <w:r>
              <w:rPr>
                <w:rFonts w:ascii="仿宋" w:hAnsi="仿宋" w:eastAsia="仿宋" w:cs="仿宋"/>
                <w:sz w:val="24"/>
                <w:szCs w:val="24"/>
              </w:rPr>
              <w:t>《关于印发《关于强化生产端和贸易端联动</w:t>
            </w:r>
          </w:p>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rPr>
              <w:t>加快培育发展整机装备产业的意见》的通知》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ascii="仿宋" w:hAnsi="仿宋" w:eastAsia="仿宋" w:cs="仿宋"/>
                <w:sz w:val="24"/>
                <w:szCs w:val="24"/>
              </w:rPr>
              <w:t>甬经信规政〔2021〕137号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39</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default" w:ascii="仿宋" w:hAnsi="仿宋" w:eastAsia="仿宋" w:cs="仿宋"/>
                <w:sz w:val="24"/>
                <w:szCs w:val="24"/>
                <w:highlight w:val="none"/>
              </w:rPr>
              <w:t>《</w:t>
            </w:r>
            <w:r>
              <w:rPr>
                <w:rFonts w:hint="eastAsia" w:ascii="仿宋" w:hAnsi="仿宋" w:eastAsia="仿宋" w:cs="仿宋"/>
                <w:sz w:val="24"/>
                <w:szCs w:val="24"/>
                <w:highlight w:val="none"/>
              </w:rPr>
              <w:t>关于印发《宁波市中小企业公共服务（示范）平台认定管理办法》的通知</w:t>
            </w:r>
            <w:r>
              <w:rPr>
                <w:rFonts w:hint="default" w:ascii="仿宋" w:hAnsi="仿宋" w:eastAsia="仿宋" w:cs="仿宋"/>
                <w:sz w:val="24"/>
                <w:szCs w:val="24"/>
                <w:highlight w:val="none"/>
              </w:rPr>
              <w:t>》</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甬经信企服〔2021〕167号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ascii="仿宋" w:hAnsi="仿宋" w:eastAsia="仿宋" w:cs="仿宋"/>
                <w:b/>
                <w:bCs/>
                <w:color w:val="000000"/>
                <w:sz w:val="24"/>
                <w:szCs w:val="24"/>
                <w:highlight w:val="none"/>
              </w:rPr>
              <w:t>40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《关于印发对全市不锈钢企业执行差别电价政策实施意见的通知》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甬政办发〔2011〕282号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lang w:eastAsia="zh-CN"/>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41</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《关于推进工业经济稳增长调结构促转型的若干意见》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甬政发〔2012〕71号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Hans"/>
              </w:rPr>
              <w:t>已</w:t>
            </w:r>
            <w:r>
              <w:rPr>
                <w:rFonts w:hint="eastAsia" w:ascii="仿宋" w:hAnsi="仿宋" w:eastAsia="仿宋" w:cs="仿宋"/>
                <w:color w:val="000000"/>
                <w:sz w:val="24"/>
                <w:szCs w:val="24"/>
                <w:highlight w:val="none"/>
              </w:rPr>
              <w:t>废止</w:t>
            </w:r>
          </w:p>
          <w:p>
            <w:pPr>
              <w:spacing w:line="360" w:lineRule="exact"/>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Hans"/>
              </w:rPr>
              <w:t>甬政发〔2019〕71</w:t>
            </w:r>
            <w:r>
              <w:rPr>
                <w:rFonts w:hint="eastAsia" w:ascii="仿宋" w:hAnsi="仿宋" w:eastAsia="仿宋" w:cs="仿宋"/>
                <w:color w:val="000000"/>
                <w:sz w:val="24"/>
                <w:szCs w:val="24"/>
                <w:highlight w:val="none"/>
              </w:rPr>
              <w:t>号决定废止</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42</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《宁波市人民政府关于印发宁波市高成长企业培育行动管理办法的通知》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甬政发〔2012〕97号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已失</w:t>
            </w:r>
            <w:r>
              <w:rPr>
                <w:rFonts w:hint="eastAsia" w:ascii="仿宋" w:hAnsi="仿宋" w:eastAsia="仿宋" w:cs="仿宋"/>
                <w:color w:val="000000"/>
                <w:sz w:val="24"/>
                <w:szCs w:val="24"/>
                <w:highlight w:val="none"/>
              </w:rPr>
              <w:t>效</w:t>
            </w:r>
          </w:p>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文件培育期3年，到15年止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exact"/>
        </w:trPr>
        <w:tc>
          <w:tcPr>
            <w:tcW w:w="739" w:type="dxa"/>
            <w:shd w:val="clear" w:color="auto" w:fill="auto"/>
            <w:tcMar>
              <w:top w:w="15" w:type="dxa"/>
              <w:left w:w="15" w:type="dxa"/>
              <w:right w:w="15" w:type="dxa"/>
            </w:tcMar>
            <w:vAlign w:val="center"/>
          </w:tcPr>
          <w:p>
            <w:pPr>
              <w:spacing w:line="320" w:lineRule="exact"/>
              <w:jc w:val="center"/>
              <w:rPr>
                <w:rFonts w:hint="default" w:asciiTheme="minorEastAsia" w:hAnsiTheme="minorEastAsia" w:eastAsia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rPr>
              <w:t>43</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《宁波市人民政府办公厅关于开展工业自动化（智能化）成套装备改造试点工作的实施意见》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甬政办发〔2013〕224号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exact"/>
        </w:trPr>
        <w:tc>
          <w:tcPr>
            <w:tcW w:w="739" w:type="dxa"/>
            <w:shd w:val="clear" w:color="auto" w:fill="auto"/>
            <w:tcMar>
              <w:top w:w="15" w:type="dxa"/>
              <w:left w:w="15" w:type="dxa"/>
              <w:right w:w="15" w:type="dxa"/>
            </w:tcMar>
            <w:vAlign w:val="center"/>
          </w:tcPr>
          <w:p>
            <w:pPr>
              <w:spacing w:line="320" w:lineRule="exact"/>
              <w:jc w:val="center"/>
              <w:rPr>
                <w:rFonts w:hint="eastAsia"/>
                <w:highlight w:val="none"/>
              </w:rPr>
            </w:pPr>
            <w:r>
              <w:rPr>
                <w:rFonts w:hint="default" w:asciiTheme="minorEastAsia" w:hAnsiTheme="minorEastAsia" w:eastAsiaTheme="minorEastAsia" w:cstheme="minorEastAsia"/>
                <w:b/>
                <w:bCs/>
                <w:kern w:val="0"/>
                <w:sz w:val="24"/>
                <w:szCs w:val="24"/>
                <w:highlight w:val="none"/>
              </w:rPr>
              <w:t>44</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《宁波市人民政府办公厅关于推进全市铸造行业转型升级的实施意见》</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甬政办发〔2014〕36号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45</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《关于印发《宁波市公共交通特惠（学生）卡办理规定》的通知》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甬经信信推〔2014〕315号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lang w:eastAsia="zh-Hans"/>
              </w:rPr>
            </w:pPr>
            <w:r>
              <w:rPr>
                <w:rFonts w:hint="eastAsia" w:ascii="仿宋" w:hAnsi="仿宋" w:eastAsia="仿宋" w:cs="仿宋"/>
                <w:color w:val="000000"/>
                <w:sz w:val="24"/>
                <w:szCs w:val="24"/>
                <w:highlight w:val="none"/>
              </w:rPr>
              <w:t>已</w:t>
            </w:r>
            <w:r>
              <w:rPr>
                <w:rFonts w:hint="eastAsia" w:ascii="仿宋" w:hAnsi="仿宋" w:eastAsia="仿宋" w:cs="仿宋"/>
                <w:color w:val="000000"/>
                <w:sz w:val="24"/>
                <w:szCs w:val="24"/>
                <w:highlight w:val="none"/>
                <w:lang w:eastAsia="zh-Hans"/>
              </w:rPr>
              <w:t>废止</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甬经信信智〔2019〕80号</w:t>
            </w:r>
            <w:r>
              <w:rPr>
                <w:rFonts w:hint="eastAsia" w:ascii="仿宋" w:hAnsi="仿宋" w:eastAsia="仿宋" w:cs="仿宋"/>
                <w:color w:val="000000"/>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46</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《关于优化市场环境促进企业兼并重组的实施意见》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甬政发〔2016〕57号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有效期截止2020年12月31</w:t>
            </w:r>
            <w:r>
              <w:rPr>
                <w:rFonts w:hint="eastAsia" w:ascii="仿宋" w:hAnsi="仿宋" w:eastAsia="仿宋" w:cs="仿宋"/>
                <w:color w:val="000000"/>
                <w:sz w:val="24"/>
                <w:szCs w:val="24"/>
                <w:highlight w:val="none"/>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《关于印发宁波市工业和信息化发展专项资金管理办法的通知》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甬经信办〔2016〕60号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已废止</w:t>
            </w:r>
          </w:p>
          <w:p>
            <w:pPr>
              <w:spacing w:line="360" w:lineRule="exact"/>
              <w:jc w:val="left"/>
              <w:rPr>
                <w:rFonts w:ascii="仿宋" w:hAnsi="仿宋" w:eastAsia="仿宋" w:cs="仿宋"/>
                <w:color w:val="000000"/>
                <w:sz w:val="24"/>
                <w:szCs w:val="24"/>
                <w:highlight w:val="none"/>
              </w:rPr>
            </w:pPr>
            <w:r>
              <w:rPr>
                <w:rFonts w:hint="eastAsia" w:ascii="仿宋" w:hAnsi="仿宋" w:eastAsia="仿宋" w:cs="仿宋"/>
                <w:sz w:val="24"/>
                <w:szCs w:val="24"/>
                <w:highlight w:val="none"/>
              </w:rPr>
              <w:t>甬经信财〔2021〕91号</w:t>
            </w:r>
            <w:r>
              <w:rPr>
                <w:rFonts w:hint="eastAsia" w:ascii="仿宋" w:hAnsi="仿宋" w:eastAsia="仿宋" w:cs="仿宋"/>
                <w:sz w:val="24"/>
                <w:szCs w:val="24"/>
                <w:highlight w:val="none"/>
                <w:lang w:val="en-US" w:eastAsia="zh-Hans"/>
              </w:rPr>
              <w:t>决定</w:t>
            </w:r>
            <w:r>
              <w:rPr>
                <w:rFonts w:hint="eastAsia" w:ascii="仿宋" w:hAnsi="仿宋" w:eastAsia="仿宋" w:cs="仿宋"/>
                <w:color w:val="000000"/>
                <w:sz w:val="24"/>
                <w:szCs w:val="24"/>
                <w:highlight w:val="none"/>
              </w:rPr>
              <w:t>废止</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48</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《关于促进融资担保行业加快发展的实施意见》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甬政办发〔2016〕70号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2016年6月4号起施行，有效期为5年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49</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《关于加快推进市民卡在教育领域应用的若干意见》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甬经信信推〔2016〕136号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已废止</w:t>
            </w:r>
          </w:p>
          <w:p>
            <w:pPr>
              <w:spacing w:line="360" w:lineRule="exact"/>
              <w:jc w:val="center"/>
              <w:rPr>
                <w:rFonts w:hint="eastAsia"/>
                <w:lang w:eastAsia="zh-CN"/>
              </w:rPr>
            </w:pPr>
            <w:r>
              <w:rPr>
                <w:rFonts w:hint="eastAsia" w:ascii="仿宋" w:hAnsi="仿宋" w:eastAsia="仿宋" w:cs="仿宋"/>
                <w:color w:val="000000"/>
                <w:sz w:val="24"/>
                <w:szCs w:val="24"/>
                <w:highlight w:val="none"/>
              </w:rPr>
              <w:t>甬经信信智〔2019〕80号</w:t>
            </w:r>
            <w:r>
              <w:rPr>
                <w:rFonts w:hint="eastAsia" w:ascii="仿宋" w:hAnsi="仿宋" w:eastAsia="仿宋" w:cs="仿宋"/>
                <w:color w:val="000000"/>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50</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《关于印发宁波市建设“中国制造2025”试点示范城市实施方案的通知》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甬政办发〔2016〕152号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lang w:eastAsia="zh-CN"/>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51</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《关于印发宁波市融资担保代偿基金管理办法的通知》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甬经信中小〔2016〕240号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本办法自发布之日后三十天起实施，有效期三年。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52</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《关于印发宁波市政策性融资担保业务风险补助资金使用管理办法的通知》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甬经信中小〔2016〕245号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w:t>
            </w:r>
            <w:r>
              <w:rPr>
                <w:rFonts w:ascii="仿宋" w:hAnsi="仿宋" w:eastAsia="仿宋" w:cs="仿宋"/>
                <w:color w:val="000000"/>
                <w:sz w:val="24"/>
                <w:szCs w:val="24"/>
                <w:highlight w:val="none"/>
              </w:rPr>
              <w:t>失效</w:t>
            </w:r>
          </w:p>
          <w:p>
            <w:pPr>
              <w:spacing w:line="360" w:lineRule="exact"/>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本办法自发布之日起三十日后实施，有效期三年。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1"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53</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《关于印发宁波市小微企业创业创新基地城市示范专项资金使用管理实施细则的通知》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甬两创办〔2017〕2号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本细则自2017年5月2日起施行，执行期为财政部等五部委确定的两创示范期。而两创示范期自2015年开始，示范期为三年。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54</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《关于印发宁波市小微企业创业创新服务券使用管理办法的通知》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甬两创办〔2017〕3号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本办法自2017年5月2日起施行，执行期为财政部等五部委确定的两创示范期。而两创示范期自2015年开始，示范期为三年。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55</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《关于宁波市推进“中国制造2025”试点示范城市建设的若干意见》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甬政发〔2017〕12号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highlight w:val="none"/>
              </w:rPr>
              <w:t>本意见自2017年1月1日起实施，有效期三年。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56</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《宁波市“3511”产业投资导向目录和智能制造评判标准（2017年本）》</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甬工推进办〔2017〕19号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rPr>
              <w:t>已</w:t>
            </w:r>
            <w:r>
              <w:rPr>
                <w:rFonts w:hint="eastAsia" w:ascii="仿宋" w:hAnsi="仿宋" w:eastAsia="仿宋" w:cs="仿宋"/>
                <w:color w:val="000000"/>
                <w:sz w:val="24"/>
                <w:szCs w:val="24"/>
                <w:highlight w:val="none"/>
                <w:lang w:val="en-US" w:eastAsia="zh-Hans"/>
              </w:rPr>
              <w:t>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lang w:val="en-US" w:eastAsia="zh-Hans"/>
              </w:rPr>
              <w:t>已有</w:t>
            </w:r>
            <w:r>
              <w:rPr>
                <w:rFonts w:hint="default" w:ascii="仿宋" w:hAnsi="仿宋" w:eastAsia="仿宋" w:cs="仿宋"/>
                <w:color w:val="000000"/>
                <w:sz w:val="24"/>
                <w:szCs w:val="24"/>
                <w:highlight w:val="none"/>
                <w:lang w:eastAsia="zh-Hans"/>
              </w:rPr>
              <w:t>18</w:t>
            </w:r>
            <w:r>
              <w:rPr>
                <w:rFonts w:hint="eastAsia" w:ascii="仿宋" w:hAnsi="仿宋" w:eastAsia="仿宋" w:cs="仿宋"/>
                <w:color w:val="000000"/>
                <w:sz w:val="24"/>
                <w:szCs w:val="24"/>
                <w:highlight w:val="none"/>
                <w:lang w:val="en-US" w:eastAsia="zh-Hans"/>
              </w:rPr>
              <w:t>年本</w:t>
            </w:r>
            <w:r>
              <w:rPr>
                <w:rFonts w:hint="eastAsia" w:ascii="仿宋" w:hAnsi="仿宋" w:eastAsia="仿宋" w:cs="仿宋"/>
                <w:color w:val="000000"/>
                <w:sz w:val="24"/>
                <w:szCs w:val="24"/>
                <w:highlight w:val="none"/>
              </w:rPr>
              <w:t>甬工推进办〔2018〕15号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57</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《关于加快推进集成电路产业发展的实施意见》</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甬政办发〔2017〕39号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highlight w:val="none"/>
              </w:rPr>
              <w:t>本意见自2017年1月1日起施行，截止时间2019年12月31日。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58</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《关于印发《宁波市工业投资（技术改造）项目管理办法（试行）》的通知》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甬经信技改〔2017〕134号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已废止</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highlight w:val="none"/>
              </w:rPr>
              <w:t>甬经信投技〔2021〕90号</w:t>
            </w:r>
            <w:r>
              <w:rPr>
                <w:rFonts w:hint="eastAsia" w:ascii="仿宋" w:hAnsi="仿宋" w:eastAsia="仿宋" w:cs="仿宋"/>
                <w:color w:val="000000"/>
                <w:sz w:val="24"/>
                <w:szCs w:val="24"/>
                <w:highlight w:val="none"/>
                <w:lang w:val="en-US" w:eastAsia="zh-Hans"/>
              </w:rPr>
              <w:t>决定</w:t>
            </w:r>
            <w:r>
              <w:rPr>
                <w:rFonts w:hint="eastAsia" w:ascii="仿宋" w:hAnsi="仿宋" w:eastAsia="仿宋" w:cs="仿宋"/>
                <w:color w:val="000000"/>
                <w:sz w:val="24"/>
                <w:szCs w:val="24"/>
                <w:highlight w:val="none"/>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59</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《宁波市加快军民融合产业发展实施细则》</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甬经信装备〔2017〕162号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w:t>
            </w:r>
            <w:r>
              <w:rPr>
                <w:rFonts w:ascii="仿宋" w:hAnsi="仿宋" w:eastAsia="仿宋" w:cs="仿宋"/>
                <w:color w:val="000000"/>
                <w:sz w:val="24"/>
                <w:szCs w:val="24"/>
                <w:highlight w:val="none"/>
              </w:rPr>
              <w:t>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highlight w:val="none"/>
              </w:rPr>
              <w:t>2017年1月1日起施行，有效期三年</w:t>
            </w:r>
            <w:r>
              <w:rPr>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60</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《关于印发宁波市推进“中国制造2025”试点示范城市建设的若干意见的实施细则的通知》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甬经信综调〔2017〕174号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ascii="仿宋" w:hAnsi="仿宋" w:eastAsia="仿宋" w:cs="仿宋"/>
                <w:color w:val="000000"/>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公布之日起30日后生效，有效期三年。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61</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《关于印发宁波市“中国制造2025”重大项目“一事一议”管理办法的通知》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甬经信合作〔2017〕179号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自</w:t>
            </w:r>
            <w:r>
              <w:rPr>
                <w:rFonts w:ascii="仿宋" w:hAnsi="仿宋" w:eastAsia="仿宋" w:cs="仿宋"/>
                <w:color w:val="000000"/>
                <w:sz w:val="24"/>
                <w:szCs w:val="24"/>
                <w:highlight w:val="none"/>
              </w:rPr>
              <w:t>2017年10月20日起实施，有效期3年</w:t>
            </w:r>
            <w:r>
              <w:rPr>
                <w:rFonts w:hint="eastAsia" w:ascii="仿宋" w:hAnsi="仿宋" w:eastAsia="仿宋" w:cs="仿宋"/>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exact"/>
        </w:trPr>
        <w:tc>
          <w:tcPr>
            <w:tcW w:w="73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62</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《关于印发宁波市制造业招商中介机构奖励实施办法的通知》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甬经信合作〔2017〕180号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left"/>
              <w:rPr>
                <w:rFonts w:hint="eastAsia" w:asciiTheme="minorEastAsia" w:hAnsiTheme="minorEastAsia" w:eastAsiaTheme="minorEastAsia" w:cstheme="minorEastAsia"/>
                <w:b w:val="0"/>
                <w:bCs w:val="0"/>
                <w:color w:val="000000"/>
                <w:kern w:val="0"/>
                <w:sz w:val="24"/>
                <w:szCs w:val="24"/>
                <w:lang w:eastAsia="zh-CN"/>
              </w:rPr>
            </w:pPr>
            <w:r>
              <w:rPr>
                <w:rFonts w:ascii="仿宋" w:hAnsi="仿宋" w:eastAsia="仿宋" w:cs="仿宋"/>
                <w:color w:val="000000"/>
                <w:sz w:val="24"/>
                <w:szCs w:val="24"/>
                <w:highlight w:val="none"/>
              </w:rPr>
              <w:t>本办法自2017年10月20日起实施，有效期3年。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63</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《关于印发宁波市优秀创业创新项目落地奖励实施办法的通知》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甬经信中小〔2017〕236号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已失效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通知的执行期为财政部等五部委确定的两创示范期。两创示范期自2015年开始，示范期为三年。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64</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《宁波市“3511”产业投资导向目录和智能制造评判标准（2018年本）》</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甬工推进办〔2018〕15号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已失效</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lang w:eastAsia="zh-Hans"/>
              </w:rPr>
              <w:t>“</w:t>
            </w:r>
            <w:r>
              <w:rPr>
                <w:rFonts w:hint="eastAsia" w:ascii="仿宋" w:hAnsi="仿宋" w:eastAsia="仿宋" w:cs="仿宋"/>
                <w:color w:val="000000"/>
                <w:sz w:val="24"/>
                <w:szCs w:val="24"/>
                <w:highlight w:val="none"/>
                <w:lang w:val="en-US" w:eastAsia="zh-Hans"/>
              </w:rPr>
              <w:t>2025</w:t>
            </w:r>
            <w:r>
              <w:rPr>
                <w:rFonts w:hint="eastAsia" w:ascii="仿宋" w:hAnsi="仿宋" w:eastAsia="仿宋" w:cs="仿宋"/>
                <w:color w:val="000000"/>
                <w:sz w:val="24"/>
                <w:szCs w:val="24"/>
                <w:highlight w:val="none"/>
                <w:lang w:eastAsia="zh-Hans"/>
              </w:rPr>
              <w:t>”政策配套文件，已失效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65</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《关于印发宁波市加快推进生物医药产业发展若干政策措施的通知》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甬政办发〔2018〕113号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lang w:val="en-US" w:eastAsia="zh-Hans"/>
              </w:rPr>
              <w:t>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66</w:t>
            </w:r>
          </w:p>
        </w:tc>
        <w:tc>
          <w:tcPr>
            <w:tcW w:w="5376" w:type="dxa"/>
            <w:shd w:val="clear" w:color="auto" w:fill="auto"/>
            <w:tcMar>
              <w:top w:w="15" w:type="dxa"/>
              <w:left w:w="15" w:type="dxa"/>
              <w:right w:w="15" w:type="dxa"/>
            </w:tcMar>
            <w:vAlign w:val="top"/>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《关于印发宁波市工业投资（技术改造）项目检查实施办法（试行）的通知》</w:t>
            </w:r>
          </w:p>
        </w:tc>
        <w:tc>
          <w:tcPr>
            <w:tcW w:w="2869" w:type="dxa"/>
            <w:shd w:val="clear" w:color="auto" w:fill="auto"/>
            <w:tcMar>
              <w:top w:w="15" w:type="dxa"/>
              <w:left w:w="15" w:type="dxa"/>
              <w:right w:w="15" w:type="dxa"/>
            </w:tcMar>
            <w:vAlign w:val="center"/>
          </w:tcPr>
          <w:p>
            <w:pPr>
              <w:spacing w:line="32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sz w:val="24"/>
                <w:szCs w:val="24"/>
                <w:highlight w:val="none"/>
              </w:rPr>
              <w:t>甬经信技改〔2018〕183号</w:t>
            </w:r>
          </w:p>
        </w:tc>
        <w:tc>
          <w:tcPr>
            <w:tcW w:w="1857" w:type="dxa"/>
            <w:shd w:val="clear" w:color="auto" w:fill="auto"/>
            <w:tcMar>
              <w:top w:w="15" w:type="dxa"/>
              <w:left w:w="15" w:type="dxa"/>
              <w:right w:w="15" w:type="dxa"/>
            </w:tcMar>
            <w:vAlign w:val="center"/>
          </w:tcPr>
          <w:p>
            <w:pPr>
              <w:spacing w:line="32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已失效</w:t>
            </w:r>
          </w:p>
          <w:p>
            <w:pPr>
              <w:spacing w:line="32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sz w:val="24"/>
                <w:szCs w:val="24"/>
                <w:highlight w:val="none"/>
              </w:rPr>
              <w:t>“2025”政策配套文件，配合甬经信技改〔2018〕134号文件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exact"/>
        </w:trPr>
        <w:tc>
          <w:tcPr>
            <w:tcW w:w="739"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67</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《宁波市中小企业公共服务平台培育和认定管理办法》</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甬经信企服〔2018〕200号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已废止</w:t>
            </w:r>
          </w:p>
          <w:p>
            <w:pPr>
              <w:spacing w:line="32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Hans"/>
              </w:rPr>
              <w:t>甬经信企服〔2021〕167号决定废止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exact"/>
        </w:trPr>
        <w:tc>
          <w:tcPr>
            <w:tcW w:w="739" w:type="dxa"/>
            <w:shd w:val="clear" w:color="auto" w:fill="auto"/>
            <w:tcMar>
              <w:top w:w="15" w:type="dxa"/>
              <w:left w:w="15" w:type="dxa"/>
              <w:right w:w="15" w:type="dxa"/>
            </w:tcMar>
            <w:vAlign w:val="center"/>
          </w:tcPr>
          <w:p>
            <w:pPr>
              <w:spacing w:line="320" w:lineRule="exact"/>
              <w:jc w:val="center"/>
              <w:rPr>
                <w:rFonts w:hint="default" w:asciiTheme="minorEastAsia" w:hAnsiTheme="minorEastAsia" w:eastAsiaTheme="minorEastAsia" w:cstheme="minorEastAsia"/>
                <w:b/>
                <w:bCs/>
                <w:kern w:val="0"/>
                <w:sz w:val="24"/>
                <w:szCs w:val="24"/>
                <w:highlight w:val="none"/>
                <w:lang w:eastAsia="zh-CN" w:bidi="ar-SA"/>
              </w:rPr>
            </w:pPr>
            <w:r>
              <w:rPr>
                <w:rFonts w:hint="default" w:asciiTheme="minorEastAsia" w:hAnsiTheme="minorEastAsia" w:eastAsiaTheme="minorEastAsia" w:cstheme="minorEastAsia"/>
                <w:b/>
                <w:bCs/>
                <w:kern w:val="0"/>
                <w:sz w:val="24"/>
                <w:szCs w:val="24"/>
                <w:highlight w:val="none"/>
                <w:lang w:eastAsia="zh-CN" w:bidi="ar-SA"/>
              </w:rPr>
              <w:t>68</w:t>
            </w:r>
          </w:p>
        </w:tc>
        <w:tc>
          <w:tcPr>
            <w:tcW w:w="5376" w:type="dxa"/>
            <w:shd w:val="clear" w:color="auto" w:fill="auto"/>
            <w:tcMar>
              <w:top w:w="15" w:type="dxa"/>
              <w:left w:w="15" w:type="dxa"/>
              <w:right w:w="15" w:type="dxa"/>
            </w:tcMar>
            <w:vAlign w:val="center"/>
          </w:tcPr>
          <w:p>
            <w:pPr>
              <w:spacing w:line="3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宁波市推进“中国制造2025”工作领导小组办公室宁波市经济和信息化委员会关于印发宁波市“四基”重点领域单项冠军产品产业链培育实施方案的通知</w:t>
            </w:r>
          </w:p>
          <w:p>
            <w:pPr>
              <w:spacing w:line="320" w:lineRule="exact"/>
              <w:jc w:val="left"/>
              <w:rPr>
                <w:rFonts w:hint="eastAsia" w:ascii="仿宋" w:hAnsi="仿宋" w:eastAsia="仿宋" w:cs="仿宋"/>
                <w:sz w:val="24"/>
                <w:szCs w:val="24"/>
                <w:highlight w:val="none"/>
                <w:lang w:val="en-US" w:eastAsia="zh-CN"/>
              </w:rPr>
            </w:pP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甬工推进办〔2018〕34号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exact"/>
        </w:trPr>
        <w:tc>
          <w:tcPr>
            <w:tcW w:w="739" w:type="dxa"/>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
                <w:bCs/>
                <w:kern w:val="0"/>
                <w:sz w:val="24"/>
                <w:szCs w:val="24"/>
                <w:highlight w:val="none"/>
                <w:lang w:eastAsia="zh-CN" w:bidi="ar-SA"/>
              </w:rPr>
            </w:pPr>
            <w:r>
              <w:rPr>
                <w:rFonts w:hint="default" w:asciiTheme="minorEastAsia" w:hAnsiTheme="minorEastAsia" w:eastAsiaTheme="minorEastAsia" w:cstheme="minorEastAsia"/>
                <w:b/>
                <w:bCs/>
                <w:kern w:val="0"/>
                <w:sz w:val="24"/>
                <w:szCs w:val="24"/>
                <w:highlight w:val="none"/>
                <w:lang w:eastAsia="zh-CN" w:bidi="ar-SA"/>
              </w:rPr>
              <w:t>69</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《宁波市推进规上企业智能化改造诊断服务工作实施方案（修订）》</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甬经信技改〔2018〕243号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exact"/>
        </w:trPr>
        <w:tc>
          <w:tcPr>
            <w:tcW w:w="739"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bCs/>
                <w:kern w:val="0"/>
                <w:sz w:val="24"/>
                <w:szCs w:val="24"/>
              </w:rPr>
            </w:pPr>
            <w:r>
              <w:rPr>
                <w:rFonts w:hint="default" w:asciiTheme="minorEastAsia" w:hAnsiTheme="minorEastAsia" w:eastAsiaTheme="minorEastAsia" w:cstheme="minorEastAsia"/>
                <w:b/>
                <w:bCs/>
                <w:kern w:val="0"/>
                <w:sz w:val="24"/>
                <w:szCs w:val="24"/>
              </w:rPr>
              <w:t>70</w:t>
            </w:r>
          </w:p>
        </w:tc>
        <w:tc>
          <w:tcPr>
            <w:tcW w:w="5376" w:type="dxa"/>
            <w:shd w:val="clear" w:color="auto" w:fill="auto"/>
            <w:tcMar>
              <w:top w:w="15" w:type="dxa"/>
              <w:left w:w="15" w:type="dxa"/>
              <w:right w:w="15" w:type="dxa"/>
            </w:tcMar>
            <w:vAlign w:val="center"/>
          </w:tcPr>
          <w:p>
            <w:pPr>
              <w:spacing w:line="360" w:lineRule="exac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《关于印发《宁波市创建特色型中国软件名城实施细则》的通知》</w:t>
            </w:r>
          </w:p>
        </w:tc>
        <w:tc>
          <w:tcPr>
            <w:tcW w:w="2869" w:type="dxa"/>
            <w:shd w:val="clear" w:color="auto" w:fill="auto"/>
            <w:tcMar>
              <w:top w:w="15" w:type="dxa"/>
              <w:left w:w="15" w:type="dxa"/>
              <w:right w:w="15" w:type="dxa"/>
            </w:tcMar>
            <w:vAlign w:val="center"/>
          </w:tcPr>
          <w:p>
            <w:pPr>
              <w:spacing w:line="360" w:lineRule="exact"/>
              <w:jc w:val="left"/>
              <w:rPr>
                <w:rFonts w:hint="eastAsia" w:asciiTheme="minorEastAsia" w:hAnsiTheme="minorEastAsia" w:eastAsiaTheme="minorEastAsia" w:cstheme="minorEastAsia"/>
                <w:b w:val="0"/>
                <w:bCs w:val="0"/>
                <w:kern w:val="0"/>
                <w:sz w:val="24"/>
                <w:szCs w:val="24"/>
              </w:rPr>
            </w:pPr>
            <w:r>
              <w:rPr>
                <w:rFonts w:hint="eastAsia" w:ascii="仿宋" w:hAnsi="仿宋" w:eastAsia="仿宋" w:cs="仿宋"/>
                <w:color w:val="000000"/>
                <w:sz w:val="24"/>
                <w:szCs w:val="24"/>
                <w:highlight w:val="none"/>
              </w:rPr>
              <w:t>甬经信软〔2019〕76号</w:t>
            </w:r>
          </w:p>
        </w:tc>
        <w:tc>
          <w:tcPr>
            <w:tcW w:w="1857" w:type="dxa"/>
            <w:shd w:val="clear" w:color="auto" w:fill="auto"/>
            <w:tcMar>
              <w:top w:w="15" w:type="dxa"/>
              <w:left w:w="15" w:type="dxa"/>
              <w:right w:w="15" w:type="dxa"/>
            </w:tcMar>
            <w:vAlign w:val="center"/>
          </w:tcPr>
          <w:p>
            <w:pPr>
              <w:spacing w:line="360" w:lineRule="exact"/>
              <w:jc w:val="center"/>
              <w:rPr>
                <w:rFonts w:hint="eastAsia" w:asciiTheme="minorEastAsia" w:hAnsiTheme="minorEastAsia" w:eastAsiaTheme="minorEastAsia" w:cstheme="minorEastAsia"/>
                <w:b w:val="0"/>
                <w:bCs w:val="0"/>
                <w:color w:val="000000"/>
                <w:kern w:val="0"/>
                <w:sz w:val="24"/>
                <w:szCs w:val="24"/>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60" w:lineRule="exact"/>
              <w:jc w:val="center"/>
              <w:rPr>
                <w:rFonts w:ascii="仿宋" w:hAnsi="仿宋" w:eastAsia="仿宋" w:cs="仿宋"/>
                <w:color w:val="000000"/>
                <w:sz w:val="24"/>
                <w:szCs w:val="24"/>
                <w:highlight w:val="none"/>
                <w:lang w:eastAsia="zh-Hans"/>
              </w:rPr>
            </w:pPr>
            <w:r>
              <w:rPr>
                <w:rFonts w:hint="eastAsia" w:ascii="仿宋" w:hAnsi="仿宋" w:eastAsia="仿宋" w:cs="仿宋"/>
                <w:color w:val="000000"/>
                <w:sz w:val="24"/>
                <w:szCs w:val="24"/>
                <w:highlight w:val="none"/>
                <w:lang w:eastAsia="zh-Hans"/>
              </w:rPr>
              <w:t>已废止</w:t>
            </w:r>
          </w:p>
          <w:p>
            <w:pPr>
              <w:spacing w:line="360" w:lineRule="exact"/>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仿宋" w:hAnsi="仿宋" w:eastAsia="仿宋" w:cs="仿宋"/>
                <w:color w:val="000000"/>
                <w:sz w:val="24"/>
                <w:szCs w:val="24"/>
                <w:highlight w:val="none"/>
              </w:rPr>
              <w:t>甬经信软〔2021〕50号</w:t>
            </w:r>
            <w:r>
              <w:rPr>
                <w:rFonts w:hint="eastAsia" w:ascii="仿宋" w:hAnsi="仿宋" w:eastAsia="仿宋" w:cs="仿宋"/>
                <w:color w:val="000000"/>
                <w:sz w:val="24"/>
                <w:szCs w:val="24"/>
                <w:highlight w:val="none"/>
                <w:lang w:val="en-US" w:eastAsia="zh-Hans"/>
              </w:rPr>
              <w:t>决定废止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71</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《宁波市节能改造项目节能量计算有关暂行规定》</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甬经信节能〔2011〕325号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72</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《关于印发《宁波市节能量审核机构管理办法》的通知》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甬经信节能〔2011〕326号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73</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《关于印发宁波市清洁生产审核实施办法的通知》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甬经信节能〔2012〕399号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74</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《宁波市工业固定资产投资项目节能竣工验收管理办法》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甬经信节能〔2013〕293号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75</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《宁波市工业固定资产投资项目节能评估和审查实施细则》</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甬经信节能〔2013〕401号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exact"/>
        </w:trPr>
        <w:tc>
          <w:tcPr>
            <w:tcW w:w="73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76</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《关于印发宁波市工业固定资产投资项目能效监察实施办法的通知》</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甬政办发〔2014〕48号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trPr>
        <w:tc>
          <w:tcPr>
            <w:tcW w:w="73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77</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《宁波市智慧城市专项资金管理办法（暂行）》</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甬经信协调〔2014〕219号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此职能已转市大数据局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78</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《关于印发《宁波市重点用能单位能效对标监察专项行动实施方案》的通知》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甬节能办〔2015〕5号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79</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《宁波市注塑机节能改造专项行动实施方案》</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甬节能办〔2015〕7号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80</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《节能管理行政处罚自由裁量权细化规定》</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甬经信法规〔2016〕8号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81</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《关于印发宁波市节能和淘汰落后产能专项资金使用实施细则的通知》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甬经信节能〔2016〕61号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360" w:lineRule="exact"/>
              <w:jc w:val="center"/>
              <w:rPr>
                <w:rFonts w:hint="default" w:asciiTheme="minorEastAsia" w:hAnsiTheme="minorEastAsia" w:eastAsiaTheme="minorEastAsia" w:cstheme="minorEastAsia"/>
                <w:b/>
                <w:bCs/>
                <w:kern w:val="0"/>
                <w:sz w:val="24"/>
                <w:szCs w:val="24"/>
                <w:highlight w:val="yellow"/>
                <w:lang w:eastAsia="zh-CN" w:bidi="ar-SA"/>
              </w:rPr>
            </w:pPr>
            <w:r>
              <w:rPr>
                <w:rFonts w:hint="default" w:asciiTheme="minorEastAsia" w:hAnsiTheme="minorEastAsia" w:eastAsiaTheme="minorEastAsia" w:cstheme="minorEastAsia"/>
                <w:b/>
                <w:bCs/>
                <w:kern w:val="0"/>
                <w:sz w:val="24"/>
                <w:szCs w:val="24"/>
                <w:highlight w:val="none"/>
                <w:lang w:eastAsia="zh-CN" w:bidi="ar-SA"/>
              </w:rPr>
              <w:t>82</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《关于印发宁波市民爆行业生产安全事故应急预案的通知》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甬经信应安〔2016〕200号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lang w:val="en-US" w:eastAsia="zh-Hans"/>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此项职能已转市委军民融合办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83</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《关于修订印发《宁波市固定资产投资项目节能审查办法》的通知》</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甬节能办〔2018〕23号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84</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《宁波市规上工业企业“能效倍增”三年行动计划（2018-2020）》</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甬经信节能〔2018〕129号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85</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《宁波市区域节能审查办法》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甬经信节能〔2018〕236号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86</w:t>
            </w:r>
          </w:p>
        </w:tc>
        <w:tc>
          <w:tcPr>
            <w:tcW w:w="5376" w:type="dxa"/>
            <w:shd w:val="clear" w:color="auto" w:fill="auto"/>
            <w:tcMar>
              <w:top w:w="15" w:type="dxa"/>
              <w:left w:w="15" w:type="dxa"/>
              <w:right w:w="15" w:type="dxa"/>
            </w:tcMar>
            <w:vAlign w:val="top"/>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《宁波市工业固定资产投资项目新装（增容）变压器节能审查程序暂行办法》</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甬经信节能〔2018〕237号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trPr>
        <w:tc>
          <w:tcPr>
            <w:tcW w:w="739" w:type="dxa"/>
            <w:shd w:val="clear" w:color="auto" w:fill="auto"/>
            <w:tcMar>
              <w:top w:w="15" w:type="dxa"/>
              <w:left w:w="15" w:type="dxa"/>
              <w:right w:w="15" w:type="dxa"/>
            </w:tcMar>
            <w:vAlign w:val="center"/>
          </w:tcPr>
          <w:p>
            <w:pPr>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87</w:t>
            </w:r>
          </w:p>
        </w:tc>
        <w:tc>
          <w:tcPr>
            <w:tcW w:w="5376" w:type="dxa"/>
            <w:shd w:val="clear" w:color="auto" w:fill="auto"/>
            <w:tcMar>
              <w:top w:w="15" w:type="dxa"/>
              <w:left w:w="15" w:type="dxa"/>
              <w:right w:w="15" w:type="dxa"/>
            </w:tcMar>
            <w:vAlign w:val="top"/>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《关于宁波市公共交通特惠（学生）卡办理规定》</w:t>
            </w:r>
          </w:p>
        </w:tc>
        <w:tc>
          <w:tcPr>
            <w:tcW w:w="2869" w:type="dxa"/>
            <w:shd w:val="clear" w:color="auto" w:fill="auto"/>
            <w:tcMar>
              <w:top w:w="15" w:type="dxa"/>
              <w:left w:w="15" w:type="dxa"/>
              <w:right w:w="15" w:type="dxa"/>
            </w:tcMar>
            <w:vAlign w:val="center"/>
          </w:tcPr>
          <w:p>
            <w:pPr>
              <w:spacing w:line="32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甬经信信智〔2019〕80号</w:t>
            </w:r>
          </w:p>
        </w:tc>
        <w:tc>
          <w:tcPr>
            <w:tcW w:w="1857"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规范性文件</w:t>
            </w:r>
          </w:p>
        </w:tc>
        <w:tc>
          <w:tcPr>
            <w:tcW w:w="3699" w:type="dxa"/>
            <w:shd w:val="clear" w:color="auto" w:fill="auto"/>
            <w:tcMar>
              <w:top w:w="15" w:type="dxa"/>
              <w:left w:w="15" w:type="dxa"/>
              <w:right w:w="15" w:type="dxa"/>
            </w:tcMar>
            <w:vAlign w:val="center"/>
          </w:tcPr>
          <w:p>
            <w:pPr>
              <w:spacing w:line="320" w:lineRule="exact"/>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Hans"/>
              </w:rPr>
              <w:t>此项职能已转市大数据局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exact"/>
        </w:trPr>
        <w:tc>
          <w:tcPr>
            <w:tcW w:w="73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b/>
                <w:bCs/>
                <w:color w:val="000000"/>
                <w:sz w:val="24"/>
                <w:szCs w:val="24"/>
                <w:highlight w:val="none"/>
                <w:lang w:eastAsia="zh-CN"/>
              </w:rPr>
            </w:pPr>
            <w:r>
              <w:rPr>
                <w:rFonts w:hint="default" w:ascii="仿宋" w:hAnsi="仿宋" w:eastAsia="仿宋" w:cs="仿宋"/>
                <w:b/>
                <w:bCs/>
                <w:color w:val="000000"/>
                <w:sz w:val="24"/>
                <w:szCs w:val="24"/>
                <w:highlight w:val="none"/>
                <w:lang w:eastAsia="zh-CN"/>
              </w:rPr>
              <w:t>88</w:t>
            </w:r>
          </w:p>
        </w:tc>
        <w:tc>
          <w:tcPr>
            <w:tcW w:w="5376" w:type="dxa"/>
            <w:shd w:val="clear" w:color="auto" w:fill="auto"/>
            <w:tcMar>
              <w:top w:w="15" w:type="dxa"/>
              <w:left w:w="15" w:type="dxa"/>
              <w:right w:w="15" w:type="dxa"/>
            </w:tcMar>
            <w:vAlign w:val="top"/>
          </w:tcPr>
          <w:p>
            <w:pPr>
              <w:spacing w:line="420" w:lineRule="exact"/>
              <w:rPr>
                <w:rFonts w:hint="eastAsia" w:ascii="仿宋" w:hAnsi="仿宋" w:eastAsia="仿宋" w:cs="仿宋"/>
                <w:color w:val="000000"/>
                <w:sz w:val="24"/>
                <w:szCs w:val="24"/>
                <w:highlight w:val="none"/>
              </w:rPr>
            </w:pPr>
            <w:r>
              <w:rPr>
                <w:rFonts w:ascii="仿宋" w:hAnsi="仿宋" w:eastAsia="仿宋" w:cs="仿宋"/>
                <w:sz w:val="24"/>
                <w:szCs w:val="24"/>
                <w:highlight w:val="none"/>
              </w:rPr>
              <w:t>《宁波市建筑垃圾资源化利用企业资格认定公告管理办法（试行）》</w:t>
            </w:r>
          </w:p>
        </w:tc>
        <w:tc>
          <w:tcPr>
            <w:tcW w:w="2869" w:type="dxa"/>
            <w:shd w:val="clear" w:color="auto" w:fill="auto"/>
            <w:tcMar>
              <w:top w:w="15" w:type="dxa"/>
              <w:left w:w="15" w:type="dxa"/>
              <w:right w:w="15" w:type="dxa"/>
            </w:tcMar>
            <w:vAlign w:val="center"/>
          </w:tcPr>
          <w:p>
            <w:pPr>
              <w:spacing w:line="420" w:lineRule="exact"/>
              <w:jc w:val="left"/>
              <w:rPr>
                <w:rFonts w:hint="eastAsia" w:ascii="仿宋" w:hAnsi="仿宋" w:eastAsia="仿宋" w:cs="仿宋"/>
                <w:color w:val="000000"/>
                <w:sz w:val="24"/>
                <w:szCs w:val="24"/>
                <w:highlight w:val="none"/>
              </w:rPr>
            </w:pPr>
            <w:r>
              <w:rPr>
                <w:rFonts w:ascii="仿宋" w:hAnsi="仿宋" w:eastAsia="仿宋" w:cs="仿宋"/>
                <w:sz w:val="24"/>
                <w:szCs w:val="24"/>
                <w:highlight w:val="none"/>
              </w:rPr>
              <w:t>甬经信节能〔2019〕19号</w:t>
            </w:r>
          </w:p>
        </w:tc>
        <w:tc>
          <w:tcPr>
            <w:tcW w:w="1857"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ascii="仿宋" w:hAnsi="仿宋" w:eastAsia="仿宋"/>
                <w:sz w:val="24"/>
                <w:highlight w:val="none"/>
              </w:rPr>
              <w:t>其他政策性措施</w:t>
            </w:r>
          </w:p>
        </w:tc>
        <w:tc>
          <w:tcPr>
            <w:tcW w:w="3699" w:type="dxa"/>
            <w:shd w:val="clear" w:color="auto" w:fill="auto"/>
            <w:tcMar>
              <w:top w:w="15" w:type="dxa"/>
              <w:left w:w="15" w:type="dxa"/>
              <w:right w:w="15" w:type="dxa"/>
            </w:tcMar>
            <w:vAlign w:val="center"/>
          </w:tcPr>
          <w:p>
            <w:pPr>
              <w:spacing w:line="420" w:lineRule="exact"/>
              <w:jc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此项职能已转市能源局</w:t>
            </w:r>
          </w:p>
        </w:tc>
      </w:tr>
    </w:tbl>
    <w:p>
      <w:pPr>
        <w:adjustRightInd w:val="0"/>
        <w:snapToGrid w:val="0"/>
        <w:rPr>
          <w:rFonts w:hint="eastAsia" w:ascii="仿宋_GB2312" w:hAnsi="Times New Roman" w:eastAsia="仿宋_GB2312"/>
          <w:color w:val="FF0000"/>
          <w:sz w:val="30"/>
          <w:szCs w:val="30"/>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duQvYtgEAAFUDAAAOAAAAAAAAAAEAIAAAADQBAABkcnMvZTJv&#10;RG9jLnhtbFBLBQYAAAAABgAGAFkBAABc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C8"/>
    <w:rsid w:val="00081E65"/>
    <w:rsid w:val="000A63E1"/>
    <w:rsid w:val="000B2C27"/>
    <w:rsid w:val="000F1B23"/>
    <w:rsid w:val="001518B0"/>
    <w:rsid w:val="001A0070"/>
    <w:rsid w:val="001E7FA7"/>
    <w:rsid w:val="00247CF7"/>
    <w:rsid w:val="005111F6"/>
    <w:rsid w:val="00621C42"/>
    <w:rsid w:val="006C3692"/>
    <w:rsid w:val="006C612B"/>
    <w:rsid w:val="006F03C8"/>
    <w:rsid w:val="0086360C"/>
    <w:rsid w:val="008E5DBB"/>
    <w:rsid w:val="00932E2E"/>
    <w:rsid w:val="009F202C"/>
    <w:rsid w:val="00A47BCB"/>
    <w:rsid w:val="00A765D2"/>
    <w:rsid w:val="00B735FB"/>
    <w:rsid w:val="00CF79F0"/>
    <w:rsid w:val="00D86705"/>
    <w:rsid w:val="00DC1CAC"/>
    <w:rsid w:val="00E80CDE"/>
    <w:rsid w:val="00F35277"/>
    <w:rsid w:val="00F60E44"/>
    <w:rsid w:val="059A1757"/>
    <w:rsid w:val="08DE4DBA"/>
    <w:rsid w:val="08F40EC9"/>
    <w:rsid w:val="09D9113A"/>
    <w:rsid w:val="0CD24957"/>
    <w:rsid w:val="0EF41263"/>
    <w:rsid w:val="0F4B2588"/>
    <w:rsid w:val="101D65AE"/>
    <w:rsid w:val="102D641F"/>
    <w:rsid w:val="10566CC7"/>
    <w:rsid w:val="14102FDE"/>
    <w:rsid w:val="160F1A09"/>
    <w:rsid w:val="16453739"/>
    <w:rsid w:val="177A1858"/>
    <w:rsid w:val="17F9F90E"/>
    <w:rsid w:val="1BBC062D"/>
    <w:rsid w:val="1CB57DF8"/>
    <w:rsid w:val="1DD854B4"/>
    <w:rsid w:val="1E5B2E33"/>
    <w:rsid w:val="20113AD0"/>
    <w:rsid w:val="20462D01"/>
    <w:rsid w:val="2091306F"/>
    <w:rsid w:val="20956BBD"/>
    <w:rsid w:val="21967AAD"/>
    <w:rsid w:val="22944772"/>
    <w:rsid w:val="237619D6"/>
    <w:rsid w:val="288B0284"/>
    <w:rsid w:val="2A356186"/>
    <w:rsid w:val="2AAB1D0C"/>
    <w:rsid w:val="2BF3186F"/>
    <w:rsid w:val="2BF7ED6F"/>
    <w:rsid w:val="2BFF91AD"/>
    <w:rsid w:val="2EEF25A8"/>
    <w:rsid w:val="2FF6DE5F"/>
    <w:rsid w:val="30465A16"/>
    <w:rsid w:val="32E7272C"/>
    <w:rsid w:val="331F65C1"/>
    <w:rsid w:val="339374C2"/>
    <w:rsid w:val="357D8E15"/>
    <w:rsid w:val="36D159BD"/>
    <w:rsid w:val="370B59EB"/>
    <w:rsid w:val="38192DD4"/>
    <w:rsid w:val="38C9152C"/>
    <w:rsid w:val="3C252B40"/>
    <w:rsid w:val="3C87753E"/>
    <w:rsid w:val="3CA311BC"/>
    <w:rsid w:val="3D293B8A"/>
    <w:rsid w:val="3D794F2E"/>
    <w:rsid w:val="3D7AF117"/>
    <w:rsid w:val="3D8F58D3"/>
    <w:rsid w:val="3E414E9A"/>
    <w:rsid w:val="3E5D4265"/>
    <w:rsid w:val="3EC81056"/>
    <w:rsid w:val="3F4F8EB2"/>
    <w:rsid w:val="3FBF3BBA"/>
    <w:rsid w:val="407D1EC0"/>
    <w:rsid w:val="4197442B"/>
    <w:rsid w:val="426347F5"/>
    <w:rsid w:val="43A853EE"/>
    <w:rsid w:val="43F4C622"/>
    <w:rsid w:val="468A1E14"/>
    <w:rsid w:val="4BAF5631"/>
    <w:rsid w:val="4D8754F6"/>
    <w:rsid w:val="4E722B66"/>
    <w:rsid w:val="4EEF3BA3"/>
    <w:rsid w:val="50B036AF"/>
    <w:rsid w:val="53A33547"/>
    <w:rsid w:val="55066626"/>
    <w:rsid w:val="555FF984"/>
    <w:rsid w:val="567467D0"/>
    <w:rsid w:val="56FF413E"/>
    <w:rsid w:val="57A763A4"/>
    <w:rsid w:val="57FF5655"/>
    <w:rsid w:val="58582EA0"/>
    <w:rsid w:val="59A839D3"/>
    <w:rsid w:val="59BF6A1D"/>
    <w:rsid w:val="5A8D668F"/>
    <w:rsid w:val="5AB455CD"/>
    <w:rsid w:val="5AE460B6"/>
    <w:rsid w:val="5C4F1868"/>
    <w:rsid w:val="5E485097"/>
    <w:rsid w:val="5F533484"/>
    <w:rsid w:val="5FB809CC"/>
    <w:rsid w:val="5FED7F95"/>
    <w:rsid w:val="5FEFB103"/>
    <w:rsid w:val="627A1A98"/>
    <w:rsid w:val="62C37977"/>
    <w:rsid w:val="63892932"/>
    <w:rsid w:val="64563C38"/>
    <w:rsid w:val="647943FA"/>
    <w:rsid w:val="648217DC"/>
    <w:rsid w:val="68024970"/>
    <w:rsid w:val="680402BC"/>
    <w:rsid w:val="6A8A37C9"/>
    <w:rsid w:val="6AC04A2A"/>
    <w:rsid w:val="6AFF3979"/>
    <w:rsid w:val="6BF85F10"/>
    <w:rsid w:val="6BF9FEE1"/>
    <w:rsid w:val="6C1B5582"/>
    <w:rsid w:val="6CB60688"/>
    <w:rsid w:val="6CDF069D"/>
    <w:rsid w:val="6DF72888"/>
    <w:rsid w:val="6FBFB451"/>
    <w:rsid w:val="6FDD63F8"/>
    <w:rsid w:val="6FEB9770"/>
    <w:rsid w:val="6FFF6FCD"/>
    <w:rsid w:val="70043175"/>
    <w:rsid w:val="71975E5C"/>
    <w:rsid w:val="73211826"/>
    <w:rsid w:val="73F6336D"/>
    <w:rsid w:val="745650C3"/>
    <w:rsid w:val="747D4A33"/>
    <w:rsid w:val="74EA79EF"/>
    <w:rsid w:val="76FF81AC"/>
    <w:rsid w:val="77CDCBE5"/>
    <w:rsid w:val="789474A2"/>
    <w:rsid w:val="794FF8AA"/>
    <w:rsid w:val="7BFFA3A2"/>
    <w:rsid w:val="7DF7F599"/>
    <w:rsid w:val="7DFAF61B"/>
    <w:rsid w:val="7E5F59C3"/>
    <w:rsid w:val="7ED14DB9"/>
    <w:rsid w:val="7EED5995"/>
    <w:rsid w:val="7EEED228"/>
    <w:rsid w:val="7EF01647"/>
    <w:rsid w:val="7EFFE066"/>
    <w:rsid w:val="7F7B6A7D"/>
    <w:rsid w:val="7F7F2225"/>
    <w:rsid w:val="7FF8B8FB"/>
    <w:rsid w:val="7FFD3FCA"/>
    <w:rsid w:val="7FFDD941"/>
    <w:rsid w:val="7FFFEABA"/>
    <w:rsid w:val="8FEED6D6"/>
    <w:rsid w:val="ABEFCECF"/>
    <w:rsid w:val="ACFF24DB"/>
    <w:rsid w:val="B26F3712"/>
    <w:rsid w:val="B67EB46A"/>
    <w:rsid w:val="B7FFAB14"/>
    <w:rsid w:val="BBDF24E3"/>
    <w:rsid w:val="BEBC2C93"/>
    <w:rsid w:val="BFD729E9"/>
    <w:rsid w:val="BFFEF33E"/>
    <w:rsid w:val="C8EFC964"/>
    <w:rsid w:val="EBDF95B0"/>
    <w:rsid w:val="EC3F33DB"/>
    <w:rsid w:val="EDFF8EBA"/>
    <w:rsid w:val="EFD3F852"/>
    <w:rsid w:val="FBD548D2"/>
    <w:rsid w:val="FDFD009F"/>
    <w:rsid w:val="FF674BE5"/>
    <w:rsid w:val="FF9ADC46"/>
    <w:rsid w:val="FFFF2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qFormat/>
    <w:uiPriority w:val="99"/>
    <w:pPr>
      <w:spacing w:beforeAutospacing="1" w:afterAutospacing="1"/>
      <w:jc w:val="left"/>
    </w:pPr>
    <w:rPr>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163</Words>
  <Characters>934</Characters>
  <Lines>7</Lines>
  <Paragraphs>2</Paragraphs>
  <TotalTime>112</TotalTime>
  <ScaleCrop>false</ScaleCrop>
  <LinksUpToDate>false</LinksUpToDate>
  <CharactersWithSpaces>1095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2020-04-26T09:42:00Z</dcterms:created>
  <dc:creator>lenovo</dc:creator>
  <cp:lastModifiedBy>huawei</cp:lastModifiedBy>
  <cp:lastPrinted>2021-11-30T23:40:00Z</cp:lastPrinted>
  <dcterms:modified xsi:type="dcterms:W3CDTF">2021-12-01T16:24:40Z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