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sz w:val="32"/>
        </w:rPr>
      </w:pPr>
      <w:r>
        <w:rPr>
          <w:rFonts w:hint="eastAsia" w:ascii="黑体" w:hAnsi="黑体" w:eastAsia="黑体"/>
          <w:color w:val="000000"/>
          <w:sz w:val="32"/>
        </w:rPr>
        <w:t>附件</w:t>
      </w:r>
    </w:p>
    <w:p>
      <w:pPr>
        <w:jc w:val="left"/>
        <w:rPr>
          <w:rFonts w:ascii="黑体" w:hAnsi="黑体" w:eastAsia="黑体"/>
          <w:color w:val="000000"/>
          <w:sz w:val="32"/>
        </w:rPr>
      </w:pPr>
    </w:p>
    <w:p>
      <w:pPr>
        <w:jc w:val="center"/>
        <w:rPr>
          <w:rFonts w:ascii="创艺简" w:hAnsi="宋体" w:eastAsia="创艺简"/>
          <w:color w:val="000000"/>
          <w:sz w:val="44"/>
        </w:rPr>
      </w:pPr>
      <w:r>
        <w:rPr>
          <w:rFonts w:hint="eastAsia" w:ascii="创艺简" w:hAnsi="宋体" w:eastAsia="创艺简"/>
          <w:color w:val="000000"/>
          <w:sz w:val="44"/>
        </w:rPr>
        <w:t>宁波市小微企业融资担保业务降费奖补</w:t>
      </w:r>
    </w:p>
    <w:p>
      <w:pPr>
        <w:jc w:val="center"/>
        <w:rPr>
          <w:rFonts w:ascii="创艺简" w:hAnsi="宋体" w:eastAsia="创艺简"/>
          <w:color w:val="000000"/>
          <w:sz w:val="44"/>
        </w:rPr>
      </w:pPr>
      <w:r>
        <w:rPr>
          <w:rFonts w:hint="eastAsia" w:ascii="创艺简" w:hAnsi="宋体" w:eastAsia="创艺简"/>
          <w:color w:val="000000"/>
          <w:sz w:val="44"/>
        </w:rPr>
        <w:t>实施细则</w:t>
      </w:r>
    </w:p>
    <w:p>
      <w:pPr>
        <w:tabs>
          <w:tab w:val="left" w:pos="1470"/>
        </w:tabs>
        <w:jc w:val="center"/>
        <w:rPr>
          <w:rFonts w:ascii="楷体_GB2312" w:eastAsia="楷体_GB2312"/>
          <w:color w:val="000000"/>
          <w:sz w:val="32"/>
        </w:rPr>
      </w:pPr>
      <w:r>
        <w:rPr>
          <w:rFonts w:hint="eastAsia" w:ascii="楷体_GB2312" w:eastAsia="楷体_GB2312"/>
          <w:color w:val="000000"/>
          <w:sz w:val="32"/>
        </w:rPr>
        <w:t>（征求意见稿）</w:t>
      </w:r>
    </w:p>
    <w:p>
      <w:pPr>
        <w:jc w:val="center"/>
        <w:rPr>
          <w:rFonts w:ascii="楷体_GB2312" w:eastAsia="楷体_GB2312"/>
          <w:color w:val="000000"/>
          <w:sz w:val="32"/>
        </w:rPr>
      </w:pPr>
    </w:p>
    <w:p>
      <w:pPr>
        <w:jc w:val="center"/>
        <w:rPr>
          <w:rFonts w:ascii="黑体" w:hAnsi="黑体" w:eastAsia="黑体" w:cs="宋体"/>
          <w:color w:val="000000"/>
          <w:sz w:val="32"/>
        </w:rPr>
      </w:pPr>
      <w:r>
        <w:rPr>
          <w:rFonts w:hint="eastAsia" w:ascii="黑体" w:hAnsi="黑体" w:eastAsia="黑体"/>
          <w:color w:val="000000"/>
          <w:sz w:val="32"/>
        </w:rPr>
        <w:t>第一章</w:t>
      </w:r>
      <w:r>
        <w:rPr>
          <w:rFonts w:hint="eastAsia" w:ascii="黑体" w:hAnsi="黑体" w:eastAsia="黑体" w:cs="宋体"/>
          <w:color w:val="000000"/>
          <w:sz w:val="32"/>
        </w:rPr>
        <w:t xml:space="preserve"> 总 则</w:t>
      </w:r>
    </w:p>
    <w:p>
      <w:pPr>
        <w:ind w:firstLine="642" w:firstLineChars="200"/>
        <w:jc w:val="left"/>
        <w:rPr>
          <w:rFonts w:ascii="仿宋_GB2312" w:hAnsi="黑体" w:eastAsia="仿宋_GB2312" w:cs="宋体"/>
          <w:color w:val="000000"/>
          <w:sz w:val="32"/>
        </w:rPr>
      </w:pPr>
      <w:r>
        <w:rPr>
          <w:rFonts w:hint="eastAsia" w:ascii="楷体_GB2312" w:hAnsi="黑体" w:eastAsia="楷体_GB2312" w:cs="宋体"/>
          <w:b/>
          <w:color w:val="000000"/>
          <w:sz w:val="32"/>
        </w:rPr>
        <w:t xml:space="preserve">第一条 </w:t>
      </w:r>
      <w:r>
        <w:rPr>
          <w:rFonts w:hint="eastAsia" w:ascii="仿宋_GB2312" w:hAnsi="黑体" w:eastAsia="仿宋_GB2312" w:cs="宋体"/>
          <w:color w:val="000000"/>
          <w:sz w:val="32"/>
        </w:rPr>
        <w:t>根据《中华人民共和国</w:t>
      </w:r>
      <w:bookmarkStart w:id="0" w:name="_GoBack"/>
      <w:bookmarkEnd w:id="0"/>
      <w:r>
        <w:rPr>
          <w:rFonts w:hint="eastAsia" w:ascii="仿宋_GB2312" w:hAnsi="黑体" w:eastAsia="仿宋_GB2312" w:cs="宋体"/>
          <w:color w:val="000000"/>
          <w:sz w:val="32"/>
        </w:rPr>
        <w:t>中小企业促进法》、《中小企业发展专项资金管理办法》（财建〔2016〕841号）、《财政部 工信部关于对小微企业融资担保业务实施降费奖补政策的通知》（财建〔2018〕547号）、《宁波市人民政府办公厅关于进一步推进降本减负促进实体经济稳增长的若干意见》（甬政办发〔2018〕125号）精神，为支持扩大实体经济领域小微企业融资担保业务规模，降低小微企业融资担保成本，充分发挥融资担保业务降费奖补资金（以下简称“奖补资金”）的激励作用，促进专注于服务小微企业的融资担保机构可持续发展，特制定本细则。</w:t>
      </w:r>
    </w:p>
    <w:p>
      <w:pPr>
        <w:ind w:firstLine="642" w:firstLineChars="200"/>
        <w:jc w:val="left"/>
        <w:rPr>
          <w:rFonts w:ascii="仿宋_GB2312" w:eastAsia="仿宋_GB2312"/>
          <w:color w:val="000000"/>
          <w:sz w:val="32"/>
          <w:szCs w:val="32"/>
        </w:rPr>
      </w:pPr>
      <w:r>
        <w:rPr>
          <w:rFonts w:hint="eastAsia" w:ascii="楷体_GB2312" w:eastAsia="楷体_GB2312"/>
          <w:b/>
          <w:color w:val="000000"/>
          <w:sz w:val="32"/>
          <w:szCs w:val="32"/>
        </w:rPr>
        <w:t xml:space="preserve">第二条 </w:t>
      </w:r>
      <w:r>
        <w:rPr>
          <w:rFonts w:hint="eastAsia" w:ascii="仿宋_GB2312" w:eastAsia="仿宋_GB2312"/>
          <w:color w:val="000000"/>
          <w:sz w:val="32"/>
          <w:szCs w:val="32"/>
        </w:rPr>
        <w:t>本细则所称小微企业，是指符合工信部、国家统计局等部门联合制发的《中小企业划型标准规定》的小型企业、微型企业，具体不包括房地产行业、金融服务服务行业和投资（资产）管理类、地方政府投融资平台类、地方国有企业资本运营平台类企业。小微企业融资担保业务，是指为单户贷款1000万元以下的小微企业提供的融资担保。</w:t>
      </w:r>
    </w:p>
    <w:p>
      <w:pPr>
        <w:ind w:firstLine="642" w:firstLineChars="200"/>
        <w:jc w:val="left"/>
        <w:rPr>
          <w:rFonts w:ascii="仿宋_GB2312" w:eastAsia="仿宋_GB2312"/>
          <w:color w:val="000000"/>
          <w:sz w:val="32"/>
          <w:szCs w:val="32"/>
        </w:rPr>
      </w:pPr>
      <w:r>
        <w:rPr>
          <w:rFonts w:hint="eastAsia" w:ascii="楷体_GB2312" w:eastAsia="楷体_GB2312"/>
          <w:b/>
          <w:color w:val="000000"/>
          <w:sz w:val="32"/>
          <w:szCs w:val="32"/>
        </w:rPr>
        <w:t xml:space="preserve">第三条 </w:t>
      </w:r>
      <w:r>
        <w:rPr>
          <w:rFonts w:hint="eastAsia" w:ascii="仿宋_GB2312" w:eastAsia="仿宋_GB2312"/>
          <w:color w:val="000000"/>
          <w:sz w:val="32"/>
          <w:szCs w:val="32"/>
        </w:rPr>
        <w:t>本细则所称奖补资金，是指2018-2020年由中央财政通过中小企业发展专项资金切块下达宁波市，用于支持我市扩大小微企业融资担保业务规模、降低小微企业融资担保费率的专项资金。</w:t>
      </w:r>
    </w:p>
    <w:p>
      <w:pPr>
        <w:ind w:firstLine="642" w:firstLineChars="200"/>
        <w:jc w:val="left"/>
        <w:rPr>
          <w:rFonts w:ascii="仿宋_GB2312" w:eastAsia="仿宋_GB2312"/>
          <w:color w:val="000000"/>
          <w:sz w:val="32"/>
          <w:szCs w:val="32"/>
        </w:rPr>
      </w:pPr>
      <w:r>
        <w:rPr>
          <w:rFonts w:hint="eastAsia" w:ascii="楷体_GB2312" w:eastAsia="楷体_GB2312"/>
          <w:b/>
          <w:color w:val="000000"/>
          <w:sz w:val="32"/>
          <w:szCs w:val="32"/>
        </w:rPr>
        <w:t xml:space="preserve">第四条 </w:t>
      </w:r>
      <w:r>
        <w:rPr>
          <w:rFonts w:hint="eastAsia" w:ascii="仿宋_GB2312" w:eastAsia="仿宋_GB2312"/>
          <w:color w:val="000000"/>
          <w:sz w:val="32"/>
          <w:szCs w:val="32"/>
        </w:rPr>
        <w:t>奖补资金遵循公开透明、公平公正、突出重点、加强监督的原则，实行专款专用，专项管理，按照直接补助、绩效奖励和代偿补偿三种方式使用，确保资金使用规范、安全和高效。</w:t>
      </w:r>
    </w:p>
    <w:p>
      <w:pPr>
        <w:ind w:firstLine="642" w:firstLineChars="200"/>
        <w:rPr>
          <w:sz w:val="24"/>
          <w:szCs w:val="24"/>
        </w:rPr>
      </w:pPr>
      <w:r>
        <w:rPr>
          <w:rFonts w:hint="eastAsia" w:ascii="楷体_GB2312" w:hAnsi="黑体" w:eastAsia="楷体_GB2312" w:cs="宋体"/>
          <w:b/>
          <w:color w:val="000000"/>
          <w:sz w:val="32"/>
        </w:rPr>
        <w:t xml:space="preserve">第五条 </w:t>
      </w:r>
      <w:r>
        <w:rPr>
          <w:rFonts w:hint="eastAsia" w:ascii="仿宋_GB2312" w:eastAsia="仿宋_GB2312"/>
          <w:color w:val="000000"/>
          <w:sz w:val="32"/>
          <w:szCs w:val="32"/>
        </w:rPr>
        <w:t>奖补资金由宁波市财政局和宁波市经信局按照职责分工共同管理。宁波市财政局负责奖补资金的预算管理和资金拨付，并对资金的使用进行监督检查。宁波市经信局负责确定奖补资金的支持方式，组织企业申报、审核、确定奖补额度，并会同宁波市财政局按照中央要求及时报送奖补资金的使用情况</w:t>
      </w:r>
      <w:r>
        <w:rPr>
          <w:rFonts w:hint="eastAsia"/>
          <w:sz w:val="24"/>
          <w:szCs w:val="24"/>
        </w:rPr>
        <w:t>。</w:t>
      </w:r>
    </w:p>
    <w:p>
      <w:pPr>
        <w:jc w:val="left"/>
        <w:rPr>
          <w:rFonts w:ascii="楷体_GB2312" w:hAnsi="黑体" w:eastAsia="楷体_GB2312" w:cs="宋体"/>
          <w:b/>
          <w:color w:val="000000"/>
          <w:sz w:val="32"/>
        </w:rPr>
      </w:pPr>
    </w:p>
    <w:p>
      <w:pPr>
        <w:jc w:val="center"/>
        <w:rPr>
          <w:rFonts w:ascii="黑体" w:hAnsi="黑体" w:eastAsia="黑体" w:cs="宋体"/>
          <w:color w:val="000000"/>
          <w:sz w:val="32"/>
        </w:rPr>
      </w:pPr>
      <w:r>
        <w:rPr>
          <w:rFonts w:hint="eastAsia" w:ascii="黑体" w:hAnsi="黑体" w:eastAsia="黑体" w:cs="宋体"/>
          <w:color w:val="000000"/>
          <w:sz w:val="32"/>
        </w:rPr>
        <w:t>第二章 奖补对象和条件</w:t>
      </w:r>
    </w:p>
    <w:p>
      <w:pPr>
        <w:ind w:firstLine="642" w:firstLineChars="200"/>
        <w:jc w:val="left"/>
        <w:rPr>
          <w:rFonts w:ascii="仿宋_GB2312" w:hAnsi="黑体" w:eastAsia="仿宋_GB2312" w:cs="宋体"/>
          <w:color w:val="000000"/>
          <w:sz w:val="32"/>
        </w:rPr>
      </w:pPr>
      <w:r>
        <w:rPr>
          <w:rFonts w:hint="eastAsia" w:ascii="楷体_GB2312" w:hAnsi="黑体" w:eastAsia="楷体_GB2312" w:cs="宋体"/>
          <w:b/>
          <w:color w:val="000000"/>
          <w:sz w:val="32"/>
        </w:rPr>
        <w:t xml:space="preserve">第六条 </w:t>
      </w:r>
      <w:r>
        <w:rPr>
          <w:rFonts w:hint="eastAsia" w:ascii="仿宋_GB2312" w:hAnsi="黑体" w:eastAsia="仿宋_GB2312" w:cs="宋体"/>
          <w:color w:val="000000"/>
          <w:sz w:val="32"/>
        </w:rPr>
        <w:t>奖补对象。在宁波市登记注册，具有政府监管部门颁发的《融资性担保机构经营许可证》，且在年审有效期内的融资担保机构。</w:t>
      </w:r>
    </w:p>
    <w:p>
      <w:pPr>
        <w:ind w:firstLine="642" w:firstLineChars="200"/>
        <w:jc w:val="left"/>
        <w:rPr>
          <w:rFonts w:ascii="仿宋_GB2312" w:hAnsi="黑体" w:eastAsia="仿宋_GB2312" w:cs="宋体"/>
          <w:color w:val="000000"/>
          <w:sz w:val="32"/>
        </w:rPr>
      </w:pPr>
      <w:r>
        <w:rPr>
          <w:rFonts w:hint="eastAsia" w:ascii="楷体_GB2312" w:hAnsi="黑体" w:eastAsia="楷体_GB2312" w:cs="宋体"/>
          <w:b/>
          <w:color w:val="000000"/>
          <w:sz w:val="32"/>
        </w:rPr>
        <w:t xml:space="preserve">第七条 </w:t>
      </w:r>
      <w:r>
        <w:rPr>
          <w:rFonts w:hint="eastAsia" w:ascii="仿宋_GB2312" w:hAnsi="黑体" w:eastAsia="仿宋_GB2312" w:cs="宋体"/>
          <w:color w:val="000000"/>
          <w:sz w:val="32"/>
        </w:rPr>
        <w:t>奖补条件。申请奖补资金的融资担保机构需同时具备以下条件：</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1.融资担保机构成立1年以上（政府性融资担保公司除外），合规经营，并做好变更事项的审批、备案；</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2.担保放大倍数不低于1倍，</w:t>
      </w:r>
      <w:r>
        <w:rPr>
          <w:rFonts w:hint="eastAsia" w:ascii="仿宋_GB2312" w:hAnsi="宋体" w:eastAsia="仿宋_GB2312"/>
          <w:color w:val="000000"/>
          <w:sz w:val="32"/>
          <w:szCs w:val="32"/>
        </w:rPr>
        <w:t>2018年起年有效日平均担保责任余额比上年度增加</w:t>
      </w:r>
      <w:r>
        <w:rPr>
          <w:rFonts w:hint="eastAsia" w:ascii="仿宋_GB2312" w:hAnsi="黑体" w:eastAsia="仿宋_GB2312" w:cs="宋体"/>
          <w:color w:val="000000"/>
          <w:sz w:val="32"/>
        </w:rPr>
        <w:t>；</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3.收取的年化担保费率不超过2%，包括被担保企业的担保费、再担保费、评估费、手续费和咨询费等；</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4.申请奖补的小微企业融资担保业务，必须是为宁波市区域内工商登记注册的小微企业提供的，且对单户小微企业融资担保余额不超过1000万元或其净资产的10%，申请奖补的业务量不得超过其在工信部“中小企业信用担保业务信息报送系统”内报送的业务量；</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5.按时准确地在工信部“中小企业信用担保业务信息报送系统”（http://coids.miit.gov.cn）进行数据报送。</w:t>
      </w:r>
    </w:p>
    <w:p>
      <w:pPr>
        <w:jc w:val="left"/>
        <w:rPr>
          <w:rFonts w:ascii="仿宋_GB2312" w:hAnsi="黑体" w:eastAsia="仿宋_GB2312" w:cs="宋体"/>
          <w:color w:val="000000"/>
          <w:sz w:val="32"/>
        </w:rPr>
      </w:pPr>
    </w:p>
    <w:p>
      <w:pPr>
        <w:jc w:val="center"/>
        <w:rPr>
          <w:rFonts w:ascii="黑体" w:hAnsi="黑体" w:eastAsia="黑体" w:cs="宋体"/>
          <w:color w:val="000000"/>
          <w:sz w:val="32"/>
        </w:rPr>
      </w:pPr>
      <w:r>
        <w:rPr>
          <w:rFonts w:hint="eastAsia" w:ascii="黑体" w:hAnsi="黑体" w:eastAsia="黑体" w:cs="宋体"/>
          <w:color w:val="000000"/>
          <w:sz w:val="32"/>
        </w:rPr>
        <w:t>第三章 奖补方式和额度</w:t>
      </w:r>
    </w:p>
    <w:p>
      <w:pPr>
        <w:ind w:firstLine="643"/>
        <w:rPr>
          <w:rFonts w:ascii="仿宋_GB2312" w:hAnsi="黑体" w:eastAsia="仿宋_GB2312" w:cs="宋体"/>
          <w:color w:val="000000"/>
          <w:sz w:val="32"/>
          <w:szCs w:val="32"/>
        </w:rPr>
      </w:pPr>
      <w:r>
        <w:rPr>
          <w:rFonts w:hint="eastAsia" w:ascii="楷体_GB2312" w:hAnsi="黑体" w:eastAsia="楷体_GB2312" w:cs="宋体"/>
          <w:b/>
          <w:color w:val="000000"/>
          <w:sz w:val="32"/>
        </w:rPr>
        <w:t xml:space="preserve">第八条 </w:t>
      </w:r>
      <w:r>
        <w:rPr>
          <w:rFonts w:hint="eastAsia" w:ascii="仿宋_GB2312" w:hAnsi="黑体" w:eastAsia="仿宋_GB2312" w:cs="宋体"/>
          <w:color w:val="000000"/>
          <w:sz w:val="32"/>
        </w:rPr>
        <w:t>奖补方式。对符合条件的融资担保机构开展的小微企业融资担保业务,2018年按照</w:t>
      </w:r>
      <w:r>
        <w:rPr>
          <w:rFonts w:hint="eastAsia" w:ascii="仿宋_GB2312" w:hAnsi="黑体" w:eastAsia="仿宋_GB2312" w:cs="宋体"/>
          <w:b/>
          <w:color w:val="000000"/>
          <w:sz w:val="32"/>
        </w:rPr>
        <w:t>动态补助率</w:t>
      </w:r>
      <w:r>
        <w:rPr>
          <w:rFonts w:hint="eastAsia" w:ascii="仿宋_GB2312" w:hAnsi="黑体" w:eastAsia="仿宋_GB2312" w:cs="宋体"/>
          <w:color w:val="000000"/>
          <w:sz w:val="32"/>
        </w:rPr>
        <w:t>对2017年业务给予直接补助，2019年、2020年按照</w:t>
      </w:r>
      <w:r>
        <w:rPr>
          <w:rFonts w:hint="eastAsia" w:ascii="仿宋_GB2312" w:hAnsi="黑体" w:eastAsia="仿宋_GB2312" w:cs="宋体"/>
          <w:b/>
          <w:color w:val="000000"/>
          <w:sz w:val="32"/>
        </w:rPr>
        <w:t>增量占比率</w:t>
      </w:r>
      <w:r>
        <w:rPr>
          <w:rFonts w:hint="eastAsia" w:ascii="仿宋_GB2312" w:hAnsi="黑体" w:eastAsia="仿宋_GB2312" w:cs="宋体"/>
          <w:color w:val="000000"/>
          <w:sz w:val="32"/>
        </w:rPr>
        <w:t>分别对2018年、2019年业务给予绩效奖励，奖补资金年度结余部分充入市级融资担保代偿基</w:t>
      </w:r>
      <w:r>
        <w:rPr>
          <w:rFonts w:hint="eastAsia" w:ascii="仿宋_GB2312" w:hAnsi="黑体" w:eastAsia="仿宋_GB2312" w:cs="宋体"/>
          <w:color w:val="000000"/>
          <w:sz w:val="32"/>
          <w:szCs w:val="32"/>
        </w:rPr>
        <w:t>金，执行</w:t>
      </w:r>
      <w:r>
        <w:rPr>
          <w:rFonts w:hint="eastAsia" w:ascii="仿宋_GB2312" w:hAnsi="仿宋" w:eastAsia="仿宋_GB2312"/>
          <w:sz w:val="32"/>
          <w:szCs w:val="32"/>
        </w:rPr>
        <w:t>《宁波市融资担保代偿基金管理办法》（</w:t>
      </w:r>
      <w:r>
        <w:rPr>
          <w:rFonts w:hint="eastAsia" w:ascii="仿宋_GB2312" w:eastAsia="仿宋_GB2312"/>
          <w:kern w:val="0"/>
          <w:sz w:val="32"/>
          <w:szCs w:val="32"/>
        </w:rPr>
        <w:t>甬经信中小〔2016〕240号）</w:t>
      </w:r>
      <w:r>
        <w:rPr>
          <w:rFonts w:hint="eastAsia" w:ascii="仿宋_GB2312" w:hAnsi="仿宋" w:eastAsia="仿宋_GB2312"/>
          <w:sz w:val="32"/>
          <w:szCs w:val="32"/>
        </w:rPr>
        <w:t>及相关补充规定。</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1.2018年融资担保机构奖补资金=动态补助率*融资担保机构年有效日平均小微企业融资担保责任余额</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动态补助率=奖补资金年度总额÷各融资担保机构年有效日平均小微企业融资担保责任余额合计数</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年有效日平均小微企业融资担保责任余额=各融资担保机构申请奖补年度日平均小微企业融资担保责任余额*有效担保率；</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2.2019年、2020年融资担保机构奖补资金=增量占比率*奖补资金年度总额;</w:t>
      </w:r>
    </w:p>
    <w:p>
      <w:pPr>
        <w:ind w:firstLine="640" w:firstLineChars="200"/>
        <w:jc w:val="left"/>
        <w:rPr>
          <w:rFonts w:ascii="仿宋_GB2312" w:hAnsi="黑体" w:eastAsia="仿宋_GB2312" w:cs="宋体"/>
          <w:color w:val="000000"/>
          <w:sz w:val="32"/>
        </w:rPr>
      </w:pPr>
      <w:r>
        <w:rPr>
          <w:rFonts w:hint="eastAsia" w:ascii="仿宋_GB2312" w:hAnsi="黑体" w:eastAsia="仿宋_GB2312" w:cs="宋体"/>
          <w:color w:val="000000"/>
          <w:sz w:val="32"/>
        </w:rPr>
        <w:t>增量占比率=融资担保机构小微企业融资担保业务年度增量÷各融资担保机构小微企业融资担保业务年度增量合计数；</w:t>
      </w:r>
    </w:p>
    <w:p>
      <w:pPr>
        <w:ind w:firstLine="640" w:firstLineChars="200"/>
        <w:rPr>
          <w:rFonts w:ascii="仿宋_GB2312" w:hAnsi="黑体" w:eastAsia="仿宋_GB2312" w:cs="宋体"/>
          <w:color w:val="000000"/>
          <w:sz w:val="32"/>
        </w:rPr>
      </w:pPr>
      <w:r>
        <w:rPr>
          <w:rFonts w:hint="eastAsia" w:ascii="仿宋_GB2312" w:hAnsi="黑体" w:eastAsia="仿宋_GB2312" w:cs="宋体"/>
          <w:color w:val="000000"/>
          <w:sz w:val="32"/>
        </w:rPr>
        <w:t>融资担保机构小微企业融资担保业务年度增量=本年有效日平均小微企业融资担保责任余额-上年有效日平均小微企业融资担保责任余额；</w:t>
      </w:r>
    </w:p>
    <w:p>
      <w:pPr>
        <w:ind w:firstLine="640" w:firstLineChars="200"/>
        <w:rPr>
          <w:rFonts w:ascii="仿宋_GB2312" w:hAnsi="黑体" w:eastAsia="仿宋_GB2312" w:cs="宋体"/>
          <w:color w:val="000000"/>
          <w:sz w:val="32"/>
        </w:rPr>
      </w:pPr>
      <w:r>
        <w:rPr>
          <w:rFonts w:hint="eastAsia" w:ascii="仿宋_GB2312" w:hAnsi="黑体" w:eastAsia="仿宋_GB2312" w:cs="宋体"/>
          <w:color w:val="000000"/>
          <w:sz w:val="32"/>
        </w:rPr>
        <w:t>3.有效担保率，是指接受政府部门委托审计的中介机构，按照本细则有关规定，对融资担保机构申报奖补的小微企业融资担保业务审计合格率。即：有效担保率=（1-样本抽查核减率）；</w:t>
      </w:r>
    </w:p>
    <w:p>
      <w:pPr>
        <w:ind w:firstLine="640" w:firstLineChars="200"/>
        <w:rPr>
          <w:rFonts w:ascii="仿宋_GB2312" w:hAnsi="黑体" w:eastAsia="仿宋_GB2312" w:cs="宋体"/>
          <w:color w:val="000000"/>
          <w:sz w:val="32"/>
        </w:rPr>
      </w:pPr>
      <w:r>
        <w:rPr>
          <w:rFonts w:hint="eastAsia" w:ascii="仿宋_GB2312" w:hAnsi="黑体" w:eastAsia="仿宋_GB2312" w:cs="宋体"/>
          <w:color w:val="000000"/>
          <w:sz w:val="32"/>
        </w:rPr>
        <w:t>样本抽查核减率=抽查样本的上年有效日平均小微企业融资担保责任余额核减数÷抽查样本的上年有效日平均小微企业融资担保责任余额；</w:t>
      </w:r>
    </w:p>
    <w:p>
      <w:pPr>
        <w:ind w:firstLine="640" w:firstLineChars="200"/>
        <w:rPr>
          <w:rFonts w:ascii="仿宋_GB2312" w:eastAsia="仿宋_GB2312"/>
          <w:color w:val="000000"/>
          <w:sz w:val="32"/>
        </w:rPr>
      </w:pPr>
      <w:r>
        <w:rPr>
          <w:rFonts w:hint="eastAsia" w:ascii="仿宋_GB2312" w:hAnsi="黑体" w:eastAsia="仿宋_GB2312" w:cs="宋体"/>
          <w:color w:val="000000"/>
          <w:sz w:val="32"/>
        </w:rPr>
        <w:t>4.有效日平均小微企业融资担保责任余额折算标准：</w:t>
      </w:r>
      <w:r>
        <w:rPr>
          <w:rFonts w:hint="eastAsia" w:ascii="仿宋_GB2312" w:eastAsia="仿宋_GB2312"/>
          <w:color w:val="000000"/>
          <w:sz w:val="32"/>
        </w:rPr>
        <w:t>根据融资担保业务收费率、客户存入保证金来确定。</w:t>
      </w:r>
    </w:p>
    <w:p>
      <w:pPr>
        <w:ind w:firstLine="640" w:firstLineChars="200"/>
        <w:rPr>
          <w:rFonts w:ascii="仿宋_GB2312" w:eastAsia="仿宋_GB2312"/>
          <w:color w:val="000000"/>
          <w:sz w:val="32"/>
        </w:rPr>
      </w:pPr>
      <w:r>
        <w:rPr>
          <w:rFonts w:hint="eastAsia" w:ascii="仿宋_GB2312" w:eastAsia="仿宋_GB2312"/>
          <w:color w:val="000000"/>
          <w:sz w:val="32"/>
        </w:rPr>
        <w:t>单户小微企业融资担保费率在2%（含）-1.5%的融资担保业务额在折算成有效日平均责任余额后，按100%计算；单户小微企业融资担保费率在1.5%（含）-1%的融资担保业务额在折算成有效日平均责任余额后，按120%计算；单户小微企业融资担保费率在1%（含）以下的融资担保业务额在折算成有效日平均责任余额后，按140%计算。</w:t>
      </w:r>
    </w:p>
    <w:p>
      <w:pPr>
        <w:ind w:firstLine="640" w:firstLineChars="200"/>
        <w:rPr>
          <w:rFonts w:ascii="仿宋_GB2312" w:eastAsia="仿宋_GB2312"/>
          <w:color w:val="000000"/>
          <w:sz w:val="32"/>
        </w:rPr>
      </w:pPr>
      <w:r>
        <w:rPr>
          <w:rFonts w:hint="eastAsia" w:ascii="仿宋_GB2312" w:eastAsia="仿宋_GB2312"/>
          <w:color w:val="000000"/>
          <w:sz w:val="32"/>
        </w:rPr>
        <w:t>在上述折算基础上，不收取客户存入保证金的小微企业融资担保业务额再按150%计算。</w:t>
      </w:r>
    </w:p>
    <w:p>
      <w:pPr>
        <w:ind w:firstLine="640" w:firstLineChars="200"/>
        <w:rPr>
          <w:rFonts w:ascii="仿宋_GB2312" w:eastAsia="仿宋_GB2312"/>
          <w:color w:val="000000"/>
          <w:sz w:val="32"/>
        </w:rPr>
      </w:pPr>
      <w:r>
        <w:rPr>
          <w:rFonts w:hint="eastAsia" w:ascii="仿宋_GB2312" w:eastAsia="仿宋_GB2312"/>
          <w:color w:val="000000"/>
          <w:sz w:val="32"/>
        </w:rPr>
        <w:t>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2410"/>
        <w:gridCol w:w="1942"/>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410" w:type="dxa"/>
            <w:vAlign w:val="center"/>
          </w:tcPr>
          <w:p>
            <w:pPr>
              <w:jc w:val="center"/>
              <w:rPr>
                <w:rFonts w:ascii="黑体" w:eastAsia="黑体"/>
                <w:color w:val="000000"/>
                <w:sz w:val="32"/>
              </w:rPr>
            </w:pPr>
            <w:r>
              <w:rPr>
                <w:rFonts w:hint="eastAsia" w:ascii="黑体" w:eastAsia="黑体"/>
                <w:color w:val="000000"/>
                <w:sz w:val="32"/>
              </w:rPr>
              <w:t>担保费率（%）</w:t>
            </w:r>
          </w:p>
        </w:tc>
        <w:tc>
          <w:tcPr>
            <w:tcW w:w="2410" w:type="dxa"/>
            <w:vAlign w:val="center"/>
          </w:tcPr>
          <w:p>
            <w:pPr>
              <w:spacing w:line="400" w:lineRule="exact"/>
              <w:jc w:val="center"/>
              <w:rPr>
                <w:rFonts w:ascii="黑体" w:eastAsia="黑体"/>
                <w:color w:val="000000"/>
                <w:sz w:val="32"/>
              </w:rPr>
            </w:pPr>
            <w:r>
              <w:rPr>
                <w:rFonts w:hint="eastAsia" w:ascii="黑体" w:eastAsia="黑体"/>
                <w:color w:val="000000"/>
                <w:sz w:val="32"/>
              </w:rPr>
              <w:t>折算标准1（%）</w:t>
            </w:r>
          </w:p>
        </w:tc>
        <w:tc>
          <w:tcPr>
            <w:tcW w:w="1942" w:type="dxa"/>
            <w:vAlign w:val="center"/>
          </w:tcPr>
          <w:p>
            <w:pPr>
              <w:spacing w:line="400" w:lineRule="exact"/>
              <w:jc w:val="center"/>
              <w:rPr>
                <w:rFonts w:ascii="黑体" w:eastAsia="黑体"/>
                <w:color w:val="000000"/>
                <w:sz w:val="32"/>
              </w:rPr>
            </w:pPr>
            <w:r>
              <w:rPr>
                <w:rFonts w:hint="eastAsia" w:ascii="黑体" w:eastAsia="黑体"/>
                <w:color w:val="000000"/>
                <w:sz w:val="32"/>
              </w:rPr>
              <w:t>客户存入保证金情况</w:t>
            </w:r>
          </w:p>
        </w:tc>
        <w:tc>
          <w:tcPr>
            <w:tcW w:w="2202" w:type="dxa"/>
            <w:vAlign w:val="center"/>
          </w:tcPr>
          <w:p>
            <w:pPr>
              <w:spacing w:line="400" w:lineRule="exact"/>
              <w:jc w:val="center"/>
              <w:rPr>
                <w:rFonts w:ascii="黑体" w:eastAsia="黑体"/>
                <w:color w:val="000000"/>
                <w:sz w:val="32"/>
              </w:rPr>
            </w:pPr>
            <w:r>
              <w:rPr>
                <w:rFonts w:hint="eastAsia" w:ascii="黑体" w:eastAsia="黑体"/>
                <w:color w:val="000000"/>
                <w:sz w:val="32"/>
              </w:rPr>
              <w:t>折算标准2（%）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_GB2312" w:hAnsi="黑体" w:eastAsia="仿宋_GB2312" w:cs="宋体"/>
                <w:color w:val="000000"/>
                <w:sz w:val="32"/>
              </w:rPr>
            </w:pPr>
            <w:r>
              <w:rPr>
                <w:rFonts w:hint="eastAsia" w:ascii="仿宋_GB2312" w:hAnsi="黑体" w:eastAsia="仿宋_GB2312" w:cs="宋体"/>
                <w:color w:val="000000"/>
                <w:sz w:val="32"/>
              </w:rPr>
              <w:t>2（含）-1.5</w:t>
            </w:r>
          </w:p>
        </w:tc>
        <w:tc>
          <w:tcPr>
            <w:tcW w:w="2410" w:type="dxa"/>
            <w:vAlign w:val="center"/>
          </w:tcPr>
          <w:p>
            <w:pPr>
              <w:jc w:val="center"/>
              <w:rPr>
                <w:rFonts w:ascii="仿宋_GB2312" w:eastAsia="仿宋_GB2312"/>
                <w:color w:val="000000"/>
                <w:sz w:val="32"/>
              </w:rPr>
            </w:pPr>
            <w:r>
              <w:rPr>
                <w:rFonts w:hint="eastAsia" w:ascii="仿宋_GB2312" w:eastAsia="仿宋_GB2312"/>
                <w:color w:val="000000"/>
                <w:sz w:val="32"/>
              </w:rPr>
              <w:t>100</w:t>
            </w:r>
          </w:p>
        </w:tc>
        <w:tc>
          <w:tcPr>
            <w:tcW w:w="1942" w:type="dxa"/>
            <w:vMerge w:val="restart"/>
            <w:vAlign w:val="center"/>
          </w:tcPr>
          <w:p>
            <w:pPr>
              <w:jc w:val="center"/>
              <w:rPr>
                <w:rFonts w:ascii="仿宋_GB2312" w:eastAsia="仿宋_GB2312"/>
                <w:color w:val="000000"/>
                <w:sz w:val="32"/>
              </w:rPr>
            </w:pPr>
            <w:r>
              <w:rPr>
                <w:rFonts w:hint="eastAsia" w:ascii="仿宋_GB2312" w:eastAsia="仿宋_GB2312"/>
                <w:color w:val="000000"/>
                <w:sz w:val="32"/>
              </w:rPr>
              <w:t>不收取</w:t>
            </w:r>
          </w:p>
        </w:tc>
        <w:tc>
          <w:tcPr>
            <w:tcW w:w="2202" w:type="dxa"/>
            <w:vMerge w:val="restart"/>
            <w:vAlign w:val="center"/>
          </w:tcPr>
          <w:p>
            <w:pPr>
              <w:jc w:val="center"/>
              <w:rPr>
                <w:rFonts w:ascii="仿宋_GB2312" w:eastAsia="仿宋_GB2312"/>
                <w:color w:val="000000"/>
                <w:sz w:val="32"/>
              </w:rPr>
            </w:pPr>
            <w:r>
              <w:rPr>
                <w:rFonts w:hint="eastAsia" w:ascii="仿宋_GB2312" w:eastAsia="仿宋_GB2312"/>
                <w:color w:val="000000"/>
                <w:sz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_GB2312" w:hAnsi="黑体" w:eastAsia="仿宋_GB2312" w:cs="宋体"/>
                <w:color w:val="000000"/>
                <w:sz w:val="32"/>
              </w:rPr>
            </w:pPr>
            <w:r>
              <w:rPr>
                <w:rFonts w:hint="eastAsia" w:ascii="仿宋_GB2312" w:hAnsi="黑体" w:eastAsia="仿宋_GB2312" w:cs="宋体"/>
                <w:color w:val="000000"/>
                <w:sz w:val="32"/>
              </w:rPr>
              <w:t>1.5（含）-1</w:t>
            </w:r>
          </w:p>
        </w:tc>
        <w:tc>
          <w:tcPr>
            <w:tcW w:w="2410" w:type="dxa"/>
            <w:vAlign w:val="center"/>
          </w:tcPr>
          <w:p>
            <w:pPr>
              <w:jc w:val="center"/>
              <w:rPr>
                <w:rFonts w:ascii="仿宋_GB2312" w:eastAsia="仿宋_GB2312"/>
                <w:color w:val="000000"/>
                <w:sz w:val="32"/>
              </w:rPr>
            </w:pPr>
            <w:r>
              <w:rPr>
                <w:rFonts w:hint="eastAsia" w:ascii="仿宋_GB2312" w:eastAsia="仿宋_GB2312"/>
                <w:color w:val="000000"/>
                <w:sz w:val="32"/>
              </w:rPr>
              <w:t>120</w:t>
            </w:r>
          </w:p>
        </w:tc>
        <w:tc>
          <w:tcPr>
            <w:tcW w:w="1942" w:type="dxa"/>
            <w:vMerge w:val="continue"/>
          </w:tcPr>
          <w:p>
            <w:pPr>
              <w:jc w:val="center"/>
              <w:rPr>
                <w:rFonts w:ascii="仿宋_GB2312" w:eastAsia="仿宋_GB2312"/>
                <w:color w:val="000000"/>
                <w:sz w:val="32"/>
              </w:rPr>
            </w:pPr>
          </w:p>
        </w:tc>
        <w:tc>
          <w:tcPr>
            <w:tcW w:w="2202" w:type="dxa"/>
            <w:vMerge w:val="continue"/>
          </w:tcPr>
          <w:p>
            <w:pPr>
              <w:jc w:val="center"/>
              <w:rPr>
                <w:rFonts w:ascii="仿宋_GB2312"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10" w:type="dxa"/>
            <w:vAlign w:val="center"/>
          </w:tcPr>
          <w:p>
            <w:pPr>
              <w:spacing w:line="400" w:lineRule="exact"/>
              <w:jc w:val="center"/>
              <w:rPr>
                <w:rFonts w:ascii="仿宋_GB2312" w:hAnsi="黑体" w:eastAsia="仿宋_GB2312" w:cs="宋体"/>
                <w:color w:val="000000"/>
                <w:sz w:val="32"/>
              </w:rPr>
            </w:pPr>
            <w:r>
              <w:rPr>
                <w:rFonts w:hint="eastAsia" w:ascii="仿宋_GB2312" w:hAnsi="黑体" w:eastAsia="仿宋_GB2312" w:cs="宋体"/>
                <w:color w:val="000000"/>
                <w:sz w:val="32"/>
              </w:rPr>
              <w:t>1（含）以下</w:t>
            </w:r>
          </w:p>
        </w:tc>
        <w:tc>
          <w:tcPr>
            <w:tcW w:w="2410" w:type="dxa"/>
            <w:vAlign w:val="center"/>
          </w:tcPr>
          <w:p>
            <w:pPr>
              <w:jc w:val="center"/>
              <w:rPr>
                <w:rFonts w:ascii="仿宋_GB2312" w:eastAsia="仿宋_GB2312"/>
                <w:color w:val="000000"/>
                <w:sz w:val="32"/>
              </w:rPr>
            </w:pPr>
            <w:r>
              <w:rPr>
                <w:rFonts w:hint="eastAsia" w:ascii="仿宋_GB2312" w:eastAsia="仿宋_GB2312"/>
                <w:color w:val="000000"/>
                <w:sz w:val="32"/>
              </w:rPr>
              <w:t>140</w:t>
            </w:r>
          </w:p>
        </w:tc>
        <w:tc>
          <w:tcPr>
            <w:tcW w:w="1942" w:type="dxa"/>
            <w:vMerge w:val="continue"/>
          </w:tcPr>
          <w:p>
            <w:pPr>
              <w:jc w:val="center"/>
              <w:rPr>
                <w:rFonts w:ascii="仿宋_GB2312" w:eastAsia="仿宋_GB2312"/>
                <w:color w:val="000000"/>
                <w:sz w:val="32"/>
              </w:rPr>
            </w:pPr>
          </w:p>
        </w:tc>
        <w:tc>
          <w:tcPr>
            <w:tcW w:w="2202" w:type="dxa"/>
            <w:vMerge w:val="continue"/>
          </w:tcPr>
          <w:p>
            <w:pPr>
              <w:jc w:val="center"/>
              <w:rPr>
                <w:rFonts w:ascii="仿宋_GB2312" w:eastAsia="仿宋_GB2312"/>
                <w:color w:val="000000"/>
                <w:sz w:val="32"/>
              </w:rPr>
            </w:pPr>
          </w:p>
        </w:tc>
      </w:tr>
    </w:tbl>
    <w:p>
      <w:pPr>
        <w:ind w:firstLine="420" w:firstLineChars="200"/>
        <w:jc w:val="left"/>
        <w:rPr>
          <w:color w:val="000000"/>
        </w:rPr>
      </w:pPr>
    </w:p>
    <w:p>
      <w:pPr>
        <w:ind w:firstLine="642" w:firstLineChars="200"/>
        <w:jc w:val="left"/>
        <w:rPr>
          <w:rFonts w:ascii="仿宋_GB2312" w:hAnsi="黑体" w:eastAsia="仿宋_GB2312" w:cs="宋体"/>
          <w:color w:val="000000"/>
          <w:sz w:val="32"/>
        </w:rPr>
      </w:pPr>
      <w:r>
        <w:rPr>
          <w:rFonts w:hint="eastAsia" w:ascii="楷体_GB2312" w:eastAsia="楷体_GB2312"/>
          <w:b/>
          <w:color w:val="000000"/>
          <w:sz w:val="32"/>
        </w:rPr>
        <w:t xml:space="preserve">第九条 </w:t>
      </w:r>
      <w:r>
        <w:rPr>
          <w:rFonts w:hint="eastAsia" w:ascii="仿宋_GB2312" w:hAnsi="黑体" w:eastAsia="仿宋_GB2312" w:cs="宋体"/>
          <w:color w:val="000000"/>
          <w:sz w:val="32"/>
        </w:rPr>
        <w:t>奖补资金年度总额根据中央财政下拨资金确定。对单个融资担保机构的年度奖补额不超过200万元。</w:t>
      </w:r>
    </w:p>
    <w:p>
      <w:pPr>
        <w:jc w:val="center"/>
        <w:rPr>
          <w:rFonts w:ascii="黑体" w:hAnsi="黑体" w:eastAsia="黑体" w:cs="宋体"/>
          <w:color w:val="000000"/>
          <w:sz w:val="32"/>
        </w:rPr>
      </w:pPr>
    </w:p>
    <w:p>
      <w:pPr>
        <w:jc w:val="center"/>
        <w:rPr>
          <w:rFonts w:ascii="黑体" w:hAnsi="黑体" w:eastAsia="黑体" w:cs="宋体"/>
          <w:color w:val="000000"/>
          <w:sz w:val="32"/>
        </w:rPr>
      </w:pPr>
      <w:r>
        <w:rPr>
          <w:rFonts w:hint="eastAsia" w:ascii="黑体" w:hAnsi="黑体" w:eastAsia="黑体" w:cs="宋体"/>
          <w:color w:val="000000"/>
          <w:sz w:val="32"/>
        </w:rPr>
        <w:t>第四章 申报资料</w:t>
      </w:r>
    </w:p>
    <w:p>
      <w:pPr>
        <w:ind w:firstLine="642" w:firstLineChars="200"/>
        <w:rPr>
          <w:rFonts w:ascii="仿宋_GB2312" w:eastAsia="仿宋_GB2312"/>
          <w:color w:val="000000"/>
          <w:sz w:val="32"/>
          <w:szCs w:val="32"/>
        </w:rPr>
      </w:pPr>
      <w:r>
        <w:rPr>
          <w:rFonts w:hint="eastAsia" w:ascii="楷体_GB2312" w:eastAsia="楷体_GB2312"/>
          <w:b/>
          <w:color w:val="000000"/>
          <w:sz w:val="32"/>
          <w:szCs w:val="32"/>
        </w:rPr>
        <w:t xml:space="preserve">第十条 </w:t>
      </w:r>
      <w:r>
        <w:rPr>
          <w:rFonts w:hint="eastAsia" w:ascii="仿宋_GB2312" w:hAnsi="宋体" w:eastAsia="仿宋_GB2312"/>
          <w:color w:val="000000"/>
          <w:sz w:val="32"/>
          <w:szCs w:val="32"/>
        </w:rPr>
        <w:t>申请奖补资金的</w:t>
      </w:r>
      <w:r>
        <w:rPr>
          <w:rFonts w:hint="eastAsia" w:ascii="仿宋_GB2312" w:eastAsia="仿宋_GB2312"/>
          <w:color w:val="000000"/>
          <w:sz w:val="32"/>
          <w:szCs w:val="32"/>
        </w:rPr>
        <w:t>融资担保公司</w:t>
      </w:r>
      <w:r>
        <w:rPr>
          <w:rFonts w:hint="eastAsia" w:ascii="仿宋_GB2312" w:hAnsi="宋体" w:eastAsia="仿宋_GB2312"/>
          <w:color w:val="000000"/>
          <w:sz w:val="32"/>
          <w:szCs w:val="32"/>
        </w:rPr>
        <w:t>，需</w:t>
      </w:r>
      <w:r>
        <w:rPr>
          <w:rFonts w:hint="eastAsia" w:ascii="仿宋_GB2312" w:eastAsia="仿宋_GB2312"/>
          <w:color w:val="000000"/>
          <w:sz w:val="32"/>
          <w:szCs w:val="32"/>
        </w:rPr>
        <w:t>提供以下资料：</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1.20XX年度宁波市融资担保机构融资担保业务降费奖补申请表（附件1）；</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2.20XX年度宁波市融资担保机构融资担保业务降费奖补明细表（附件2），并按担保费率范围和客户存入保证金收取情况分页填报；</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3．20XX年度宁波市融资担保机构小微企业融资担保业务降费奖补情况表（附件3）。</w:t>
      </w:r>
    </w:p>
    <w:p>
      <w:pPr>
        <w:ind w:firstLine="642" w:firstLineChars="200"/>
        <w:rPr>
          <w:rFonts w:ascii="仿宋_GB2312" w:hAnsi="宋体" w:eastAsia="仿宋_GB2312"/>
          <w:color w:val="000000"/>
          <w:sz w:val="32"/>
          <w:szCs w:val="32"/>
        </w:rPr>
      </w:pPr>
      <w:r>
        <w:rPr>
          <w:rFonts w:hint="eastAsia" w:ascii="楷体_GB2312" w:hAnsi="黑体" w:eastAsia="楷体_GB2312" w:cs="宋体"/>
          <w:b/>
          <w:color w:val="000000"/>
          <w:sz w:val="32"/>
        </w:rPr>
        <w:t xml:space="preserve">第十一条 </w:t>
      </w:r>
      <w:r>
        <w:rPr>
          <w:rFonts w:hint="eastAsia" w:ascii="仿宋_GB2312" w:eastAsia="仿宋_GB2312"/>
          <w:color w:val="000000"/>
          <w:sz w:val="32"/>
          <w:szCs w:val="32"/>
        </w:rPr>
        <w:t>融资担保机构还需准备好以下资料：</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1.单笔担保业务的担保合同、银行借款合同、借款借据、还贷凭证、担保业务收费收据；</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2.担保业务统计台帐；</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3.客户存入保证金台帐、票据；</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4.融资担保机构申请奖补年度财务审计报告；</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5.其他所需资料。</w:t>
      </w:r>
    </w:p>
    <w:p>
      <w:pPr>
        <w:jc w:val="left"/>
        <w:rPr>
          <w:rFonts w:ascii="楷体_GB2312" w:hAnsi="黑体" w:eastAsia="楷体_GB2312" w:cs="宋体"/>
          <w:b/>
          <w:color w:val="000000"/>
          <w:sz w:val="32"/>
        </w:rPr>
      </w:pPr>
    </w:p>
    <w:p>
      <w:pPr>
        <w:jc w:val="center"/>
        <w:rPr>
          <w:rFonts w:ascii="黑体" w:hAnsi="黑体" w:eastAsia="黑体" w:cs="宋体"/>
          <w:color w:val="000000"/>
          <w:sz w:val="32"/>
        </w:rPr>
      </w:pPr>
      <w:r>
        <w:rPr>
          <w:rFonts w:hint="eastAsia" w:ascii="黑体" w:hAnsi="黑体" w:eastAsia="黑体" w:cs="宋体"/>
          <w:color w:val="000000"/>
          <w:sz w:val="32"/>
        </w:rPr>
        <w:t>第五章 申报、审核和资金拨付</w:t>
      </w:r>
    </w:p>
    <w:p>
      <w:pPr>
        <w:ind w:firstLine="642" w:firstLineChars="200"/>
        <w:rPr>
          <w:rFonts w:ascii="仿宋_GB2312" w:hAnsi="黑体" w:eastAsia="仿宋_GB2312" w:cs="宋体"/>
          <w:color w:val="000000"/>
          <w:sz w:val="32"/>
        </w:rPr>
      </w:pPr>
      <w:r>
        <w:rPr>
          <w:rFonts w:hint="eastAsia" w:ascii="楷体_GB2312" w:hAnsi="黑体" w:eastAsia="楷体_GB2312" w:cs="宋体"/>
          <w:b/>
          <w:color w:val="000000"/>
          <w:sz w:val="32"/>
        </w:rPr>
        <w:t xml:space="preserve">第十二条 </w:t>
      </w:r>
      <w:r>
        <w:rPr>
          <w:rFonts w:hint="eastAsia" w:ascii="仿宋_GB2312" w:hAnsi="黑体" w:eastAsia="仿宋_GB2312" w:cs="宋体"/>
          <w:color w:val="000000"/>
          <w:sz w:val="32"/>
        </w:rPr>
        <w:t>申报。符合本办法第六、第七条规定的融资担保机构，根据(宁波市经信局)申报通知，自行填报《</w:t>
      </w:r>
      <w:r>
        <w:rPr>
          <w:rFonts w:hint="eastAsia" w:ascii="仿宋_GB2312" w:eastAsia="仿宋_GB2312"/>
          <w:color w:val="000000"/>
          <w:sz w:val="32"/>
          <w:szCs w:val="32"/>
        </w:rPr>
        <w:t>20XX年度宁波市融资担保机构融资担保业务降费奖补申请表》、《20XX年度宁波市融资担保机构融资担保业务降费奖补明细表</w:t>
      </w:r>
      <w:r>
        <w:rPr>
          <w:rFonts w:hint="eastAsia" w:ascii="仿宋_GB2312" w:hAnsi="黑体" w:eastAsia="仿宋_GB2312" w:cs="宋体"/>
          <w:color w:val="000000"/>
          <w:sz w:val="32"/>
        </w:rPr>
        <w:t>》、《20XX年度宁波市融资担保机构小微企业融资担保业务降费奖补情况表》，报所在区县（市）经信部门和财政部门提出初审意见后，一式两份上报宁波市经信局。</w:t>
      </w:r>
    </w:p>
    <w:p>
      <w:pPr>
        <w:ind w:firstLine="642" w:firstLineChars="200"/>
        <w:rPr>
          <w:rFonts w:ascii="仿宋_GB2312" w:hAnsi="黑体" w:eastAsia="仿宋_GB2312" w:cs="宋体"/>
          <w:color w:val="000000"/>
          <w:sz w:val="32"/>
        </w:rPr>
      </w:pPr>
      <w:r>
        <w:rPr>
          <w:rFonts w:hint="eastAsia" w:ascii="楷体_GB2312" w:hAnsi="黑体" w:eastAsia="楷体_GB2312" w:cs="宋体"/>
          <w:b/>
          <w:color w:val="000000"/>
          <w:sz w:val="32"/>
        </w:rPr>
        <w:t xml:space="preserve">第十三条 </w:t>
      </w:r>
      <w:r>
        <w:rPr>
          <w:rFonts w:hint="eastAsia" w:ascii="仿宋_GB2312" w:hAnsi="黑体" w:eastAsia="仿宋_GB2312" w:cs="宋体"/>
          <w:color w:val="000000"/>
          <w:sz w:val="32"/>
        </w:rPr>
        <w:t>审核。宁波市经信局采取委托中介机构方式对申请奖补资金的融资担保机构进行专项审计。</w:t>
      </w:r>
    </w:p>
    <w:p>
      <w:pPr>
        <w:ind w:firstLine="642" w:firstLineChars="200"/>
        <w:rPr>
          <w:rFonts w:ascii="仿宋_GB2312" w:hAnsi="黑体" w:eastAsia="仿宋_GB2312" w:cs="宋体"/>
          <w:color w:val="000000"/>
          <w:sz w:val="32"/>
        </w:rPr>
      </w:pPr>
      <w:r>
        <w:rPr>
          <w:rFonts w:hint="eastAsia" w:ascii="楷体_GB2312" w:hAnsi="黑体" w:eastAsia="楷体_GB2312" w:cs="宋体"/>
          <w:b/>
          <w:color w:val="000000"/>
          <w:sz w:val="32"/>
        </w:rPr>
        <w:t xml:space="preserve">第十四条 </w:t>
      </w:r>
      <w:r>
        <w:rPr>
          <w:rFonts w:hint="eastAsia" w:ascii="仿宋_GB2312" w:hAnsi="黑体" w:eastAsia="仿宋_GB2312" w:cs="宋体"/>
          <w:color w:val="000000"/>
          <w:sz w:val="32"/>
        </w:rPr>
        <w:t>资金拨付。宁波市经信局依据审计结果，确定享受奖补的融资担保机构名单及补助金额，并在宁波市经信局网站上公示七天，如无异议，由宁波市财政局会同宁波市经信局下达奖补资金文件。各融资担保机构根据文件向所在区县（市）财政局、经信局申请资金拨付。</w:t>
      </w:r>
    </w:p>
    <w:p>
      <w:pPr>
        <w:ind w:firstLine="640" w:firstLineChars="200"/>
        <w:rPr>
          <w:rFonts w:ascii="仿宋_GB2312" w:hAnsi="黑体" w:eastAsia="仿宋_GB2312" w:cs="宋体"/>
          <w:color w:val="000000"/>
          <w:sz w:val="32"/>
        </w:rPr>
      </w:pPr>
    </w:p>
    <w:p>
      <w:pPr>
        <w:jc w:val="center"/>
        <w:rPr>
          <w:rFonts w:ascii="黑体" w:hAnsi="黑体" w:eastAsia="黑体" w:cs="宋体"/>
          <w:color w:val="000000"/>
          <w:sz w:val="32"/>
        </w:rPr>
      </w:pPr>
      <w:r>
        <w:rPr>
          <w:rFonts w:hint="eastAsia" w:ascii="黑体" w:hAnsi="黑体" w:eastAsia="黑体" w:cs="宋体"/>
          <w:color w:val="000000"/>
          <w:sz w:val="32"/>
        </w:rPr>
        <w:t>第六章 监督管理</w:t>
      </w:r>
    </w:p>
    <w:p>
      <w:pPr>
        <w:ind w:firstLine="642" w:firstLineChars="200"/>
        <w:rPr>
          <w:rFonts w:ascii="仿宋_GB2312" w:hAnsi="黑体" w:eastAsia="仿宋_GB2312" w:cs="宋体"/>
          <w:color w:val="000000"/>
          <w:sz w:val="32"/>
        </w:rPr>
      </w:pPr>
      <w:r>
        <w:rPr>
          <w:rFonts w:hint="eastAsia" w:ascii="楷体_GB2312" w:hAnsi="黑体" w:eastAsia="楷体_GB2312" w:cs="宋体"/>
          <w:b/>
          <w:color w:val="000000"/>
          <w:sz w:val="32"/>
        </w:rPr>
        <w:t xml:space="preserve">第十五条 </w:t>
      </w:r>
      <w:r>
        <w:rPr>
          <w:rFonts w:hint="eastAsia" w:ascii="仿宋_GB2312" w:hAnsi="黑体" w:eastAsia="仿宋_GB2312" w:cs="宋体"/>
          <w:color w:val="000000"/>
          <w:sz w:val="32"/>
        </w:rPr>
        <w:t>申报单位应当提供真实、有效资料，凡以弄虚作假等手段骗取奖补资金的，一经查实，将追缴已拨付的资金，三年内不得享受中央、市级融资担保政策补助。</w:t>
      </w:r>
    </w:p>
    <w:p>
      <w:pPr>
        <w:ind w:firstLine="642" w:firstLineChars="200"/>
        <w:rPr>
          <w:rFonts w:ascii="楷体_GB2312" w:hAnsi="黑体" w:eastAsia="楷体_GB2312" w:cs="宋体"/>
          <w:b/>
          <w:color w:val="000000"/>
          <w:sz w:val="32"/>
        </w:rPr>
      </w:pPr>
      <w:r>
        <w:rPr>
          <w:rFonts w:hint="eastAsia" w:ascii="楷体_GB2312" w:hAnsi="黑体" w:eastAsia="楷体_GB2312" w:cs="宋体"/>
          <w:b/>
          <w:color w:val="000000"/>
          <w:sz w:val="32"/>
        </w:rPr>
        <w:t xml:space="preserve">第十六条 </w:t>
      </w:r>
      <w:r>
        <w:rPr>
          <w:rFonts w:hint="eastAsia" w:ascii="仿宋_GB2312" w:hAnsi="黑体" w:eastAsia="仿宋_GB2312" w:cs="宋体"/>
          <w:color w:val="000000"/>
          <w:sz w:val="32"/>
        </w:rPr>
        <w:t>区县（市）经信局和财政局要加强对奖补资金申报、使用的检查和监督，任何单位或个人不得以任何理由、任何形式截留、挪用。对违反规定的，按《财政违法行为的处罚处分条例》（国务院令427号）等有关规定，依法追究有关单位和人员的责任。</w:t>
      </w:r>
    </w:p>
    <w:p>
      <w:pPr>
        <w:jc w:val="center"/>
        <w:rPr>
          <w:rFonts w:ascii="黑体" w:hAnsi="黑体" w:eastAsia="黑体" w:cs="宋体"/>
          <w:color w:val="000000"/>
          <w:sz w:val="32"/>
        </w:rPr>
      </w:pPr>
      <w:r>
        <w:rPr>
          <w:rFonts w:hint="eastAsia" w:ascii="黑体" w:hAnsi="黑体" w:eastAsia="黑体" w:cs="宋体"/>
          <w:color w:val="000000"/>
          <w:sz w:val="32"/>
        </w:rPr>
        <w:t>第七章 附则</w:t>
      </w:r>
    </w:p>
    <w:p>
      <w:pPr>
        <w:ind w:firstLine="642" w:firstLineChars="200"/>
        <w:rPr>
          <w:rFonts w:ascii="仿宋_GB2312" w:hAnsi="黑体" w:eastAsia="仿宋_GB2312" w:cs="宋体"/>
          <w:color w:val="000000"/>
          <w:sz w:val="32"/>
        </w:rPr>
      </w:pPr>
      <w:r>
        <w:rPr>
          <w:rFonts w:hint="eastAsia" w:ascii="楷体_GB2312" w:hAnsi="黑体" w:eastAsia="楷体_GB2312" w:cs="宋体"/>
          <w:b/>
          <w:color w:val="000000"/>
          <w:sz w:val="32"/>
        </w:rPr>
        <w:t xml:space="preserve">第十七条 </w:t>
      </w:r>
      <w:r>
        <w:rPr>
          <w:rFonts w:hint="eastAsia" w:ascii="仿宋_GB2312" w:hAnsi="黑体" w:eastAsia="仿宋_GB2312" w:cs="宋体"/>
          <w:color w:val="000000"/>
          <w:sz w:val="32"/>
        </w:rPr>
        <w:t>本细则自发布之日起实施，有效期视国家奖补资金后续下达情况确定。由宁波市经信局、宁波市财政局负责解释。</w:t>
      </w:r>
    </w:p>
    <w:p>
      <w:pPr>
        <w:rPr>
          <w:rFonts w:ascii="仿宋_GB2312" w:hAnsi="黑体" w:eastAsia="仿宋_GB2312" w:cs="宋体"/>
          <w:color w:val="000000"/>
          <w:sz w:val="32"/>
        </w:rPr>
      </w:pPr>
    </w:p>
    <w:p>
      <w:pPr>
        <w:ind w:left="1590" w:leftChars="300" w:hanging="960" w:hangingChars="300"/>
        <w:rPr>
          <w:rFonts w:ascii="仿宋_GB2312" w:eastAsia="仿宋_GB2312"/>
          <w:color w:val="000000"/>
          <w:sz w:val="32"/>
          <w:szCs w:val="32"/>
        </w:rPr>
      </w:pPr>
      <w:r>
        <w:rPr>
          <w:rFonts w:hint="eastAsia" w:ascii="仿宋_GB2312" w:hAnsi="黑体" w:eastAsia="仿宋_GB2312" w:cs="宋体"/>
          <w:color w:val="000000"/>
          <w:sz w:val="32"/>
        </w:rPr>
        <w:t>附件：1</w:t>
      </w:r>
      <w:r>
        <w:rPr>
          <w:rFonts w:hint="eastAsia" w:ascii="仿宋_GB2312" w:eastAsia="仿宋_GB2312"/>
          <w:color w:val="000000"/>
          <w:sz w:val="32"/>
          <w:szCs w:val="32"/>
        </w:rPr>
        <w:t>.20XX年度宁波市融资担保机构小微企业融资担保业务降费奖补申请表</w:t>
      </w:r>
    </w:p>
    <w:p>
      <w:pPr>
        <w:ind w:left="1680" w:leftChars="800"/>
        <w:rPr>
          <w:rFonts w:ascii="仿宋_GB2312" w:eastAsia="仿宋_GB2312"/>
          <w:color w:val="000000"/>
          <w:sz w:val="32"/>
          <w:szCs w:val="32"/>
        </w:rPr>
      </w:pPr>
      <w:r>
        <w:rPr>
          <w:rFonts w:hint="eastAsia" w:ascii="仿宋_GB2312" w:eastAsia="仿宋_GB2312"/>
          <w:color w:val="000000"/>
          <w:sz w:val="32"/>
          <w:szCs w:val="32"/>
        </w:rPr>
        <w:t>2.20XX年度宁波市融资担保机构小微企业融资担保业务降费奖补明细表</w:t>
      </w:r>
    </w:p>
    <w:p>
      <w:pPr>
        <w:ind w:left="1680" w:leftChars="800"/>
        <w:rPr>
          <w:rFonts w:ascii="仿宋_GB2312" w:eastAsia="仿宋_GB2312"/>
          <w:color w:val="000000"/>
          <w:sz w:val="32"/>
          <w:szCs w:val="32"/>
        </w:rPr>
      </w:pPr>
      <w:r>
        <w:rPr>
          <w:rFonts w:hint="eastAsia" w:ascii="仿宋_GB2312" w:eastAsia="仿宋_GB2312"/>
          <w:color w:val="000000"/>
          <w:sz w:val="32"/>
          <w:szCs w:val="32"/>
        </w:rPr>
        <w:t>3．20XX年度宁波市融资担保机构小微企业融资担保业务降费奖补情况表</w:t>
      </w:r>
    </w:p>
    <w:p>
      <w:pPr>
        <w:widowControl/>
        <w:rPr>
          <w:rFonts w:ascii="仿宋_GB2312" w:eastAsia="仿宋_GB2312"/>
          <w:color w:val="000000"/>
          <w:sz w:val="32"/>
          <w:szCs w:val="32"/>
        </w:rPr>
      </w:pPr>
      <w:r>
        <w:rPr>
          <w:rFonts w:ascii="仿宋_GB2312" w:eastAsia="仿宋_GB2312"/>
          <w:color w:val="000000"/>
          <w:sz w:val="32"/>
          <w:szCs w:val="32"/>
        </w:rPr>
        <w:br w:type="page"/>
      </w:r>
      <w:r>
        <w:rPr>
          <w:rFonts w:hint="eastAsia" w:ascii="仿宋_GB2312" w:eastAsia="仿宋_GB2312"/>
          <w:color w:val="000000"/>
          <w:sz w:val="32"/>
          <w:szCs w:val="32"/>
        </w:rPr>
        <w:t>附件1</w:t>
      </w:r>
    </w:p>
    <w:p>
      <w:pPr>
        <w:jc w:val="center"/>
        <w:rPr>
          <w:rFonts w:ascii="创艺简" w:eastAsia="创艺简"/>
          <w:color w:val="000000"/>
          <w:sz w:val="40"/>
          <w:szCs w:val="32"/>
        </w:rPr>
      </w:pPr>
      <w:r>
        <w:rPr>
          <w:rFonts w:hint="eastAsia" w:ascii="创艺简" w:eastAsia="创艺简"/>
          <w:color w:val="000000"/>
          <w:sz w:val="40"/>
          <w:szCs w:val="32"/>
        </w:rPr>
        <w:t>20XX年度宁波市融资担保机构小微企业</w:t>
      </w:r>
    </w:p>
    <w:p>
      <w:pPr>
        <w:jc w:val="center"/>
        <w:rPr>
          <w:rFonts w:ascii="创艺简" w:eastAsia="创艺简"/>
          <w:color w:val="000000"/>
          <w:sz w:val="40"/>
          <w:szCs w:val="32"/>
        </w:rPr>
      </w:pPr>
      <w:r>
        <w:rPr>
          <w:rFonts w:hint="eastAsia" w:ascii="创艺简" w:eastAsia="创艺简"/>
          <w:color w:val="000000"/>
          <w:sz w:val="40"/>
          <w:szCs w:val="32"/>
        </w:rPr>
        <w:t>融资担保业务降费奖补申请表</w:t>
      </w:r>
    </w:p>
    <w:p>
      <w:pPr>
        <w:ind w:firstLine="280" w:firstLineChars="100"/>
        <w:rPr>
          <w:rFonts w:ascii="仿宋_GB2312" w:eastAsia="仿宋_GB2312"/>
          <w:color w:val="000000"/>
          <w:sz w:val="32"/>
          <w:szCs w:val="32"/>
        </w:rPr>
      </w:pPr>
      <w:r>
        <w:rPr>
          <w:rFonts w:hint="eastAsia" w:ascii="仿宋_GB2312" w:hAnsi="仿宋" w:eastAsia="仿宋_GB2312"/>
          <w:sz w:val="28"/>
          <w:szCs w:val="28"/>
        </w:rPr>
        <w:t>填报单位（盖章）                            金额单位：万元</w:t>
      </w:r>
    </w:p>
    <w:tbl>
      <w:tblPr>
        <w:tblStyle w:val="4"/>
        <w:tblW w:w="890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349"/>
        <w:gridCol w:w="1080"/>
        <w:gridCol w:w="1541"/>
        <w:gridCol w:w="619"/>
        <w:gridCol w:w="1080"/>
        <w:gridCol w:w="1080"/>
        <w:gridCol w:w="1080"/>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18" w:hRule="atLeast"/>
          <w:jc w:val="center"/>
        </w:trPr>
        <w:tc>
          <w:tcPr>
            <w:tcW w:w="1349" w:type="dxa"/>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注册资本</w:t>
            </w:r>
          </w:p>
        </w:tc>
        <w:tc>
          <w:tcPr>
            <w:tcW w:w="1080" w:type="dxa"/>
            <w:shd w:val="clear" w:color="auto" w:fill="auto"/>
            <w:vAlign w:val="center"/>
          </w:tcPr>
          <w:p>
            <w:pPr>
              <w:widowControl/>
              <w:jc w:val="left"/>
              <w:rPr>
                <w:rFonts w:cs="宋体"/>
                <w:color w:val="000000"/>
                <w:kern w:val="0"/>
                <w:szCs w:val="21"/>
              </w:rPr>
            </w:pPr>
          </w:p>
        </w:tc>
        <w:tc>
          <w:tcPr>
            <w:tcW w:w="1541" w:type="dxa"/>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当年累计担保总额</w:t>
            </w:r>
          </w:p>
        </w:tc>
        <w:tc>
          <w:tcPr>
            <w:tcW w:w="1699" w:type="dxa"/>
            <w:gridSpan w:val="2"/>
            <w:shd w:val="clear" w:color="auto" w:fill="auto"/>
            <w:vAlign w:val="center"/>
          </w:tcPr>
          <w:p>
            <w:pPr>
              <w:widowControl/>
              <w:jc w:val="left"/>
              <w:rPr>
                <w:rFonts w:cs="宋体"/>
                <w:color w:val="000000"/>
                <w:kern w:val="0"/>
                <w:szCs w:val="21"/>
              </w:rPr>
            </w:pPr>
          </w:p>
        </w:tc>
        <w:tc>
          <w:tcPr>
            <w:tcW w:w="2160" w:type="dxa"/>
            <w:gridSpan w:val="2"/>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当年度年末在保余额</w:t>
            </w:r>
          </w:p>
        </w:tc>
        <w:tc>
          <w:tcPr>
            <w:tcW w:w="1080" w:type="dxa"/>
            <w:shd w:val="clear" w:color="auto" w:fill="auto"/>
            <w:vAlign w:val="center"/>
          </w:tcPr>
          <w:p>
            <w:pPr>
              <w:widowControl/>
              <w:jc w:val="left"/>
              <w:rPr>
                <w:rFonts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7" w:hRule="atLeast"/>
          <w:jc w:val="center"/>
        </w:trPr>
        <w:tc>
          <w:tcPr>
            <w:tcW w:w="1349" w:type="dxa"/>
            <w:vMerge w:val="restart"/>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当年度小微企业融资担保业务有效日平均担保余额</w:t>
            </w:r>
          </w:p>
        </w:tc>
        <w:tc>
          <w:tcPr>
            <w:tcW w:w="1080" w:type="dxa"/>
            <w:vMerge w:val="restart"/>
            <w:shd w:val="clear" w:color="auto" w:fill="auto"/>
            <w:vAlign w:val="center"/>
          </w:tcPr>
          <w:p>
            <w:pPr>
              <w:widowControl/>
              <w:jc w:val="left"/>
              <w:rPr>
                <w:rFonts w:cs="宋体"/>
                <w:color w:val="000000"/>
                <w:kern w:val="0"/>
                <w:szCs w:val="21"/>
              </w:rPr>
            </w:pPr>
          </w:p>
        </w:tc>
        <w:tc>
          <w:tcPr>
            <w:tcW w:w="6480" w:type="dxa"/>
            <w:gridSpan w:val="6"/>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其中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1349" w:type="dxa"/>
            <w:vMerge w:val="continue"/>
            <w:vAlign w:val="center"/>
          </w:tcPr>
          <w:p>
            <w:pPr>
              <w:widowControl/>
              <w:jc w:val="left"/>
              <w:rPr>
                <w:rFonts w:ascii="仿宋_GB2312" w:hAnsi="宋体" w:eastAsia="仿宋_GB2312" w:cs="宋体"/>
                <w:color w:val="000000"/>
                <w:kern w:val="0"/>
                <w:sz w:val="28"/>
                <w:szCs w:val="28"/>
              </w:rPr>
            </w:pPr>
          </w:p>
        </w:tc>
        <w:tc>
          <w:tcPr>
            <w:tcW w:w="1080" w:type="dxa"/>
            <w:vMerge w:val="continue"/>
            <w:vAlign w:val="center"/>
          </w:tcPr>
          <w:p>
            <w:pPr>
              <w:widowControl/>
              <w:jc w:val="left"/>
              <w:rPr>
                <w:rFonts w:cs="宋体"/>
                <w:color w:val="000000"/>
                <w:kern w:val="0"/>
                <w:szCs w:val="21"/>
              </w:rPr>
            </w:pPr>
          </w:p>
        </w:tc>
        <w:tc>
          <w:tcPr>
            <w:tcW w:w="2160" w:type="dxa"/>
            <w:gridSpan w:val="2"/>
            <w:vMerge w:val="restart"/>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担保费率（%）</w:t>
            </w:r>
          </w:p>
        </w:tc>
        <w:tc>
          <w:tcPr>
            <w:tcW w:w="4320" w:type="dxa"/>
            <w:gridSpan w:val="4"/>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有效日均担保额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9" w:hRule="atLeast"/>
          <w:jc w:val="center"/>
        </w:trPr>
        <w:tc>
          <w:tcPr>
            <w:tcW w:w="1349" w:type="dxa"/>
            <w:vMerge w:val="continue"/>
            <w:vAlign w:val="center"/>
          </w:tcPr>
          <w:p>
            <w:pPr>
              <w:widowControl/>
              <w:jc w:val="left"/>
              <w:rPr>
                <w:rFonts w:ascii="仿宋_GB2312" w:hAnsi="宋体" w:eastAsia="仿宋_GB2312" w:cs="宋体"/>
                <w:color w:val="000000"/>
                <w:kern w:val="0"/>
                <w:sz w:val="28"/>
                <w:szCs w:val="28"/>
              </w:rPr>
            </w:pPr>
          </w:p>
        </w:tc>
        <w:tc>
          <w:tcPr>
            <w:tcW w:w="1080" w:type="dxa"/>
            <w:vMerge w:val="continue"/>
            <w:vAlign w:val="center"/>
          </w:tcPr>
          <w:p>
            <w:pPr>
              <w:widowControl/>
              <w:jc w:val="left"/>
              <w:rPr>
                <w:rFonts w:cs="宋体"/>
                <w:color w:val="000000"/>
                <w:kern w:val="0"/>
                <w:szCs w:val="21"/>
              </w:rPr>
            </w:pPr>
          </w:p>
        </w:tc>
        <w:tc>
          <w:tcPr>
            <w:tcW w:w="2160" w:type="dxa"/>
            <w:gridSpan w:val="2"/>
            <w:vMerge w:val="continue"/>
            <w:vAlign w:val="center"/>
          </w:tcPr>
          <w:p>
            <w:pPr>
              <w:widowControl/>
              <w:jc w:val="left"/>
              <w:rPr>
                <w:rFonts w:ascii="仿宋_GB2312" w:hAnsi="宋体" w:eastAsia="仿宋_GB2312" w:cs="宋体"/>
                <w:color w:val="000000"/>
                <w:kern w:val="0"/>
                <w:sz w:val="28"/>
                <w:szCs w:val="28"/>
              </w:rPr>
            </w:pPr>
          </w:p>
        </w:tc>
        <w:tc>
          <w:tcPr>
            <w:tcW w:w="2160" w:type="dxa"/>
            <w:gridSpan w:val="2"/>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收取客户存入保证金</w:t>
            </w:r>
          </w:p>
        </w:tc>
        <w:tc>
          <w:tcPr>
            <w:tcW w:w="2160" w:type="dxa"/>
            <w:gridSpan w:val="2"/>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不收取客户存入保证金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9" w:hRule="atLeast"/>
          <w:jc w:val="center"/>
        </w:trPr>
        <w:tc>
          <w:tcPr>
            <w:tcW w:w="1349" w:type="dxa"/>
            <w:vMerge w:val="continue"/>
            <w:vAlign w:val="center"/>
          </w:tcPr>
          <w:p>
            <w:pPr>
              <w:widowControl/>
              <w:jc w:val="left"/>
              <w:rPr>
                <w:rFonts w:ascii="仿宋_GB2312" w:hAnsi="宋体" w:eastAsia="仿宋_GB2312" w:cs="宋体"/>
                <w:color w:val="000000"/>
                <w:kern w:val="0"/>
                <w:sz w:val="28"/>
                <w:szCs w:val="28"/>
              </w:rPr>
            </w:pPr>
          </w:p>
        </w:tc>
        <w:tc>
          <w:tcPr>
            <w:tcW w:w="1080" w:type="dxa"/>
            <w:vMerge w:val="continue"/>
            <w:vAlign w:val="center"/>
          </w:tcPr>
          <w:p>
            <w:pPr>
              <w:widowControl/>
              <w:jc w:val="left"/>
              <w:rPr>
                <w:rFonts w:cs="宋体"/>
                <w:color w:val="000000"/>
                <w:kern w:val="0"/>
                <w:szCs w:val="21"/>
              </w:rPr>
            </w:pPr>
          </w:p>
        </w:tc>
        <w:tc>
          <w:tcPr>
            <w:tcW w:w="2160" w:type="dxa"/>
            <w:gridSpan w:val="2"/>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2（含）-1.5</w:t>
            </w:r>
          </w:p>
        </w:tc>
        <w:tc>
          <w:tcPr>
            <w:tcW w:w="2160" w:type="dxa"/>
            <w:gridSpan w:val="2"/>
            <w:shd w:val="clear" w:color="auto" w:fill="auto"/>
            <w:vAlign w:val="center"/>
          </w:tcPr>
          <w:p>
            <w:pPr>
              <w:widowControl/>
              <w:jc w:val="center"/>
              <w:rPr>
                <w:rFonts w:cs="宋体"/>
                <w:color w:val="000000"/>
                <w:kern w:val="0"/>
                <w:szCs w:val="21"/>
              </w:rPr>
            </w:pPr>
          </w:p>
        </w:tc>
        <w:tc>
          <w:tcPr>
            <w:tcW w:w="2160" w:type="dxa"/>
            <w:gridSpan w:val="2"/>
            <w:shd w:val="clear" w:color="auto" w:fill="auto"/>
            <w:vAlign w:val="center"/>
          </w:tcPr>
          <w:p>
            <w:pPr>
              <w:widowControl/>
              <w:jc w:val="center"/>
              <w:rPr>
                <w:rFonts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1" w:hRule="atLeast"/>
          <w:jc w:val="center"/>
        </w:trPr>
        <w:tc>
          <w:tcPr>
            <w:tcW w:w="1349" w:type="dxa"/>
            <w:vMerge w:val="continue"/>
            <w:vAlign w:val="center"/>
          </w:tcPr>
          <w:p>
            <w:pPr>
              <w:widowControl/>
              <w:jc w:val="left"/>
              <w:rPr>
                <w:rFonts w:ascii="仿宋_GB2312" w:hAnsi="宋体" w:eastAsia="仿宋_GB2312" w:cs="宋体"/>
                <w:color w:val="000000"/>
                <w:kern w:val="0"/>
                <w:sz w:val="28"/>
                <w:szCs w:val="28"/>
              </w:rPr>
            </w:pPr>
          </w:p>
        </w:tc>
        <w:tc>
          <w:tcPr>
            <w:tcW w:w="1080" w:type="dxa"/>
            <w:vMerge w:val="continue"/>
            <w:vAlign w:val="center"/>
          </w:tcPr>
          <w:p>
            <w:pPr>
              <w:widowControl/>
              <w:jc w:val="left"/>
              <w:rPr>
                <w:rFonts w:cs="宋体"/>
                <w:color w:val="000000"/>
                <w:kern w:val="0"/>
                <w:szCs w:val="21"/>
              </w:rPr>
            </w:pPr>
          </w:p>
        </w:tc>
        <w:tc>
          <w:tcPr>
            <w:tcW w:w="2160" w:type="dxa"/>
            <w:gridSpan w:val="2"/>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1.5（含）-1</w:t>
            </w:r>
          </w:p>
        </w:tc>
        <w:tc>
          <w:tcPr>
            <w:tcW w:w="2160" w:type="dxa"/>
            <w:gridSpan w:val="2"/>
            <w:shd w:val="clear" w:color="auto" w:fill="auto"/>
            <w:vAlign w:val="center"/>
          </w:tcPr>
          <w:p>
            <w:pPr>
              <w:widowControl/>
              <w:jc w:val="center"/>
              <w:rPr>
                <w:rFonts w:cs="宋体"/>
                <w:color w:val="000000"/>
                <w:kern w:val="0"/>
                <w:szCs w:val="21"/>
              </w:rPr>
            </w:pPr>
          </w:p>
        </w:tc>
        <w:tc>
          <w:tcPr>
            <w:tcW w:w="2160" w:type="dxa"/>
            <w:gridSpan w:val="2"/>
            <w:shd w:val="clear" w:color="auto" w:fill="auto"/>
            <w:vAlign w:val="center"/>
          </w:tcPr>
          <w:p>
            <w:pPr>
              <w:widowControl/>
              <w:jc w:val="center"/>
              <w:rPr>
                <w:rFonts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1" w:hRule="atLeast"/>
          <w:jc w:val="center"/>
        </w:trPr>
        <w:tc>
          <w:tcPr>
            <w:tcW w:w="1349" w:type="dxa"/>
            <w:vMerge w:val="continue"/>
            <w:vAlign w:val="center"/>
          </w:tcPr>
          <w:p>
            <w:pPr>
              <w:widowControl/>
              <w:jc w:val="left"/>
              <w:rPr>
                <w:rFonts w:ascii="仿宋_GB2312" w:hAnsi="宋体" w:eastAsia="仿宋_GB2312" w:cs="宋体"/>
                <w:color w:val="000000"/>
                <w:kern w:val="0"/>
                <w:sz w:val="28"/>
                <w:szCs w:val="28"/>
              </w:rPr>
            </w:pPr>
          </w:p>
        </w:tc>
        <w:tc>
          <w:tcPr>
            <w:tcW w:w="1080" w:type="dxa"/>
            <w:vMerge w:val="continue"/>
            <w:vAlign w:val="center"/>
          </w:tcPr>
          <w:p>
            <w:pPr>
              <w:widowControl/>
              <w:jc w:val="left"/>
              <w:rPr>
                <w:rFonts w:cs="宋体"/>
                <w:color w:val="000000"/>
                <w:kern w:val="0"/>
                <w:szCs w:val="21"/>
              </w:rPr>
            </w:pPr>
          </w:p>
        </w:tc>
        <w:tc>
          <w:tcPr>
            <w:tcW w:w="2160" w:type="dxa"/>
            <w:gridSpan w:val="2"/>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1（含）以下</w:t>
            </w:r>
          </w:p>
        </w:tc>
        <w:tc>
          <w:tcPr>
            <w:tcW w:w="2160" w:type="dxa"/>
            <w:gridSpan w:val="2"/>
            <w:shd w:val="clear" w:color="auto" w:fill="auto"/>
            <w:vAlign w:val="center"/>
          </w:tcPr>
          <w:p>
            <w:pPr>
              <w:widowControl/>
              <w:jc w:val="center"/>
              <w:rPr>
                <w:rFonts w:cs="宋体"/>
                <w:color w:val="000000"/>
                <w:kern w:val="0"/>
                <w:szCs w:val="21"/>
              </w:rPr>
            </w:pPr>
          </w:p>
        </w:tc>
        <w:tc>
          <w:tcPr>
            <w:tcW w:w="2160" w:type="dxa"/>
            <w:gridSpan w:val="2"/>
            <w:shd w:val="clear" w:color="auto" w:fill="auto"/>
            <w:vAlign w:val="center"/>
          </w:tcPr>
          <w:p>
            <w:pPr>
              <w:widowControl/>
              <w:jc w:val="center"/>
              <w:rPr>
                <w:rFonts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92" w:hRule="atLeast"/>
          <w:jc w:val="center"/>
        </w:trPr>
        <w:tc>
          <w:tcPr>
            <w:tcW w:w="4589" w:type="dxa"/>
            <w:gridSpan w:val="4"/>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区县（市）财政局审核意见：</w:t>
            </w: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p>
        </w:tc>
        <w:tc>
          <w:tcPr>
            <w:tcW w:w="4320" w:type="dxa"/>
            <w:gridSpan w:val="4"/>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区县（市）经信局审核意见：</w:t>
            </w: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5" w:hRule="atLeast"/>
          <w:jc w:val="center"/>
        </w:trPr>
        <w:tc>
          <w:tcPr>
            <w:tcW w:w="4589" w:type="dxa"/>
            <w:gridSpan w:val="4"/>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（盖章）         年  月  日 </w:t>
            </w:r>
          </w:p>
        </w:tc>
        <w:tc>
          <w:tcPr>
            <w:tcW w:w="4320" w:type="dxa"/>
            <w:gridSpan w:val="4"/>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（盖章）        年  月  日 </w:t>
            </w:r>
          </w:p>
        </w:tc>
      </w:tr>
    </w:tbl>
    <w:p>
      <w:pPr>
        <w:rPr>
          <w:rFonts w:ascii="仿宋_GB2312" w:eastAsia="仿宋_GB2312"/>
          <w:color w:val="000000"/>
          <w:sz w:val="32"/>
          <w:szCs w:val="32"/>
        </w:rPr>
        <w:sectPr>
          <w:pgSz w:w="11906" w:h="16838"/>
          <w:pgMar w:top="2098" w:right="1474" w:bottom="1814" w:left="1588" w:header="851" w:footer="992" w:gutter="0"/>
          <w:cols w:space="425" w:num="1"/>
          <w:docGrid w:type="lines" w:linePitch="312" w:charSpace="0"/>
        </w:sectPr>
      </w:pPr>
    </w:p>
    <w:p>
      <w:pPr>
        <w:jc w:val="left"/>
        <w:rPr>
          <w:rFonts w:ascii="仿宋_GB2312" w:eastAsia="仿宋_GB2312"/>
          <w:color w:val="000000"/>
          <w:sz w:val="32"/>
          <w:szCs w:val="32"/>
        </w:rPr>
      </w:pPr>
      <w:r>
        <w:rPr>
          <w:rFonts w:hint="eastAsia" w:ascii="仿宋_GB2312" w:eastAsia="仿宋_GB2312"/>
          <w:color w:val="000000"/>
          <w:sz w:val="32"/>
          <w:szCs w:val="32"/>
        </w:rPr>
        <w:t>附件2</w:t>
      </w:r>
    </w:p>
    <w:p>
      <w:pPr>
        <w:jc w:val="center"/>
        <w:rPr>
          <w:rFonts w:ascii="创艺简" w:eastAsia="创艺简"/>
          <w:color w:val="000000"/>
          <w:sz w:val="40"/>
          <w:szCs w:val="32"/>
        </w:rPr>
      </w:pPr>
      <w:r>
        <w:rPr>
          <w:rFonts w:hint="eastAsia" w:ascii="创艺简" w:eastAsia="创艺简"/>
          <w:color w:val="000000"/>
          <w:sz w:val="40"/>
          <w:szCs w:val="32"/>
        </w:rPr>
        <w:t>20XX年度宁波市融资担保机构小微企业融资担保业务降费奖补明细表</w:t>
      </w:r>
    </w:p>
    <w:p>
      <w:pPr>
        <w:spacing w:line="360" w:lineRule="auto"/>
        <w:rPr>
          <w:rFonts w:ascii="仿宋_GB2312" w:hAnsi="宋体" w:eastAsia="仿宋_GB2312"/>
          <w:sz w:val="28"/>
          <w:szCs w:val="28"/>
        </w:rPr>
      </w:pPr>
      <w:r>
        <w:rPr>
          <w:rFonts w:hint="eastAsia" w:ascii="仿宋_GB2312" w:hAnsi="宋体" w:eastAsia="仿宋_GB2312"/>
          <w:sz w:val="28"/>
          <w:szCs w:val="28"/>
        </w:rPr>
        <w:t>申报单位（盖章）：                      担保费率范围（%）：                          金额单位：万元</w:t>
      </w:r>
    </w:p>
    <w:tbl>
      <w:tblPr>
        <w:tblStyle w:val="4"/>
        <w:tblW w:w="13756" w:type="dxa"/>
        <w:jc w:val="center"/>
        <w:tblLayout w:type="autofit"/>
        <w:tblCellMar>
          <w:top w:w="0" w:type="dxa"/>
          <w:left w:w="108" w:type="dxa"/>
          <w:bottom w:w="0" w:type="dxa"/>
          <w:right w:w="108" w:type="dxa"/>
        </w:tblCellMar>
      </w:tblPr>
      <w:tblGrid>
        <w:gridCol w:w="592"/>
        <w:gridCol w:w="719"/>
        <w:gridCol w:w="815"/>
        <w:gridCol w:w="940"/>
        <w:gridCol w:w="882"/>
        <w:gridCol w:w="823"/>
        <w:gridCol w:w="842"/>
        <w:gridCol w:w="980"/>
        <w:gridCol w:w="841"/>
        <w:gridCol w:w="842"/>
        <w:gridCol w:w="1119"/>
        <w:gridCol w:w="841"/>
        <w:gridCol w:w="916"/>
        <w:gridCol w:w="1090"/>
        <w:gridCol w:w="1514"/>
      </w:tblGrid>
      <w:tr>
        <w:tblPrEx>
          <w:tblCellMar>
            <w:top w:w="0" w:type="dxa"/>
            <w:left w:w="108" w:type="dxa"/>
            <w:bottom w:w="0" w:type="dxa"/>
            <w:right w:w="108" w:type="dxa"/>
          </w:tblCellMar>
        </w:tblPrEx>
        <w:trPr>
          <w:trHeight w:val="1110" w:hRule="atLeast"/>
          <w:jc w:val="center"/>
        </w:trPr>
        <w:tc>
          <w:tcPr>
            <w:tcW w:w="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33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被担保企业</w:t>
            </w:r>
          </w:p>
        </w:tc>
        <w:tc>
          <w:tcPr>
            <w:tcW w:w="8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贷款银行</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合同担保金额</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合同担保日期</w:t>
            </w:r>
          </w:p>
        </w:tc>
        <w:tc>
          <w:tcPr>
            <w:tcW w:w="8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合同到期日期</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实际还款日期</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当年实际担保天数</w:t>
            </w:r>
          </w:p>
        </w:tc>
        <w:tc>
          <w:tcPr>
            <w:tcW w:w="84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担保业务收入</w:t>
            </w:r>
          </w:p>
        </w:tc>
        <w:tc>
          <w:tcPr>
            <w:tcW w:w="916"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担保费率（%）</w:t>
            </w:r>
          </w:p>
        </w:tc>
        <w:tc>
          <w:tcPr>
            <w:tcW w:w="10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客户存入保证金情况（收取或不收取）</w:t>
            </w:r>
          </w:p>
        </w:tc>
        <w:tc>
          <w:tcPr>
            <w:tcW w:w="15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折算为当年度有效日平均担保额</w:t>
            </w:r>
          </w:p>
        </w:tc>
      </w:tr>
      <w:tr>
        <w:tblPrEx>
          <w:tblCellMar>
            <w:top w:w="0" w:type="dxa"/>
            <w:left w:w="108" w:type="dxa"/>
            <w:bottom w:w="0" w:type="dxa"/>
            <w:right w:w="108" w:type="dxa"/>
          </w:tblCellMar>
        </w:tblPrEx>
        <w:trPr>
          <w:trHeight w:val="1125"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71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名称</w:t>
            </w:r>
          </w:p>
        </w:tc>
        <w:tc>
          <w:tcPr>
            <w:tcW w:w="8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资产总额</w:t>
            </w:r>
          </w:p>
        </w:tc>
        <w:tc>
          <w:tcPr>
            <w:tcW w:w="940"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销售收入</w:t>
            </w:r>
          </w:p>
        </w:tc>
        <w:tc>
          <w:tcPr>
            <w:tcW w:w="88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从业人数</w:t>
            </w: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41" w:type="dxa"/>
            <w:vMerge w:val="continue"/>
            <w:tcBorders>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c>
          <w:tcPr>
            <w:tcW w:w="916" w:type="dxa"/>
            <w:vMerge w:val="continue"/>
            <w:tcBorders>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7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7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15"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2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1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single" w:color="auto" w:sz="4" w:space="0"/>
              <w:left w:val="nil"/>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916" w:type="dxa"/>
            <w:tcBorders>
              <w:top w:val="nil"/>
              <w:left w:val="single" w:color="auto" w:sz="4" w:space="0"/>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109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51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7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7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15"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2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1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single" w:color="auto" w:sz="4" w:space="0"/>
              <w:left w:val="nil"/>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916" w:type="dxa"/>
            <w:tcBorders>
              <w:top w:val="nil"/>
              <w:left w:val="single" w:color="auto" w:sz="4" w:space="0"/>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109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51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7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7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15"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2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1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single" w:color="auto" w:sz="4" w:space="0"/>
              <w:left w:val="nil"/>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916" w:type="dxa"/>
            <w:tcBorders>
              <w:top w:val="nil"/>
              <w:left w:val="single" w:color="auto" w:sz="4" w:space="0"/>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109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51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75" w:hRule="atLeast"/>
          <w:jc w:val="center"/>
        </w:trPr>
        <w:tc>
          <w:tcPr>
            <w:tcW w:w="592"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7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15"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8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23"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9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11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841" w:type="dxa"/>
            <w:tcBorders>
              <w:top w:val="single" w:color="auto" w:sz="4" w:space="0"/>
              <w:left w:val="nil"/>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916" w:type="dxa"/>
            <w:tcBorders>
              <w:top w:val="nil"/>
              <w:left w:val="single" w:color="auto" w:sz="4" w:space="0"/>
              <w:bottom w:val="single" w:color="auto" w:sz="4" w:space="0"/>
              <w:right w:val="single" w:color="auto" w:sz="4" w:space="0"/>
            </w:tcBorders>
          </w:tcPr>
          <w:p>
            <w:pPr>
              <w:widowControl/>
              <w:rPr>
                <w:rFonts w:ascii="仿宋_GB2312" w:hAnsi="宋体" w:eastAsia="仿宋_GB2312" w:cs="宋体"/>
                <w:color w:val="000000"/>
                <w:kern w:val="0"/>
                <w:sz w:val="28"/>
                <w:szCs w:val="28"/>
              </w:rPr>
            </w:pPr>
          </w:p>
        </w:tc>
        <w:tc>
          <w:tcPr>
            <w:tcW w:w="109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c>
          <w:tcPr>
            <w:tcW w:w="151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8"/>
                <w:szCs w:val="28"/>
              </w:rPr>
            </w:pPr>
          </w:p>
        </w:tc>
      </w:tr>
    </w:tbl>
    <w:p>
      <w:pPr>
        <w:spacing w:line="400" w:lineRule="exact"/>
        <w:rPr>
          <w:rFonts w:ascii="仿宋_GB2312" w:hAnsi="宋体" w:eastAsia="仿宋_GB2312"/>
          <w:sz w:val="28"/>
          <w:szCs w:val="28"/>
        </w:rPr>
      </w:pPr>
      <w:r>
        <w:rPr>
          <w:rFonts w:hint="eastAsia" w:ascii="仿宋_GB2312" w:hAnsi="宋体" w:eastAsia="仿宋_GB2312"/>
          <w:sz w:val="28"/>
          <w:szCs w:val="28"/>
        </w:rPr>
        <w:t>注：1.折算为当年度有效日平均担保额=合同担保金额/365天*当年实际担保天数*折算标准1*折算标准2。</w:t>
      </w:r>
    </w:p>
    <w:p>
      <w:pPr>
        <w:ind w:firstLine="560" w:firstLineChars="200"/>
        <w:rPr>
          <w:rFonts w:ascii="仿宋_GB2312" w:eastAsia="仿宋_GB2312"/>
          <w:color w:val="000000"/>
          <w:sz w:val="28"/>
          <w:szCs w:val="24"/>
        </w:rPr>
      </w:pPr>
      <w:r>
        <w:rPr>
          <w:rFonts w:hint="eastAsia" w:ascii="仿宋_GB2312" w:eastAsia="仿宋_GB2312"/>
          <w:color w:val="000000"/>
          <w:sz w:val="28"/>
          <w:szCs w:val="24"/>
        </w:rPr>
        <w:t>2.按照担保费率在2%（含）-1.5%、1.5%（含）-1%、</w:t>
      </w:r>
      <w:r>
        <w:rPr>
          <w:rFonts w:hint="eastAsia" w:ascii="仿宋_GB2312" w:hAnsi="宋体" w:eastAsia="仿宋_GB2312" w:cs="宋体"/>
          <w:color w:val="000000"/>
          <w:kern w:val="0"/>
          <w:sz w:val="28"/>
          <w:szCs w:val="24"/>
        </w:rPr>
        <w:t>1%（含）以下</w:t>
      </w:r>
      <w:r>
        <w:rPr>
          <w:rFonts w:hint="eastAsia" w:ascii="仿宋_GB2312" w:eastAsia="仿宋_GB2312"/>
          <w:color w:val="000000"/>
          <w:sz w:val="28"/>
          <w:szCs w:val="24"/>
        </w:rPr>
        <w:t>三个范围，分页填报。</w:t>
      </w:r>
    </w:p>
    <w:p>
      <w:pPr>
        <w:jc w:val="left"/>
        <w:rPr>
          <w:rFonts w:ascii="仿宋_GB2312" w:eastAsia="仿宋_GB2312"/>
          <w:color w:val="000000"/>
          <w:sz w:val="32"/>
          <w:szCs w:val="24"/>
        </w:rPr>
      </w:pPr>
      <w:r>
        <w:rPr>
          <w:rFonts w:ascii="仿宋_GB2312" w:eastAsia="仿宋_GB2312"/>
          <w:color w:val="000000"/>
          <w:sz w:val="28"/>
          <w:szCs w:val="24"/>
        </w:rPr>
        <w:br w:type="page"/>
      </w:r>
      <w:r>
        <w:rPr>
          <w:rFonts w:hint="eastAsia" w:ascii="仿宋_GB2312" w:eastAsia="仿宋_GB2312"/>
          <w:color w:val="000000"/>
          <w:sz w:val="32"/>
          <w:szCs w:val="24"/>
        </w:rPr>
        <w:t>附件3</w:t>
      </w:r>
    </w:p>
    <w:p>
      <w:pPr>
        <w:jc w:val="center"/>
        <w:rPr>
          <w:rFonts w:ascii="创艺简" w:eastAsia="创艺简"/>
          <w:color w:val="000000"/>
          <w:sz w:val="40"/>
          <w:szCs w:val="32"/>
        </w:rPr>
      </w:pPr>
      <w:r>
        <w:rPr>
          <w:rFonts w:hint="eastAsia" w:ascii="创艺简" w:eastAsia="创艺简"/>
          <w:color w:val="000000"/>
          <w:sz w:val="40"/>
          <w:szCs w:val="32"/>
        </w:rPr>
        <w:t>20XX年度宁波市融资担保机构小微企业融资担保业务降费奖补情况表</w:t>
      </w:r>
    </w:p>
    <w:p>
      <w:pPr>
        <w:spacing w:line="360" w:lineRule="auto"/>
        <w:ind w:right="1120"/>
        <w:rPr>
          <w:rFonts w:ascii="仿宋_GB2312" w:hAnsi="宋体" w:eastAsia="仿宋_GB2312"/>
          <w:sz w:val="28"/>
          <w:szCs w:val="28"/>
        </w:rPr>
      </w:pPr>
      <w:r>
        <w:rPr>
          <w:rFonts w:hint="eastAsia" w:ascii="仿宋_GB2312" w:hAnsi="宋体" w:eastAsia="仿宋_GB2312"/>
          <w:sz w:val="28"/>
          <w:szCs w:val="28"/>
        </w:rPr>
        <w:t xml:space="preserve">申报单位（盖章）：                                               金额单位：万元、%、人    </w:t>
      </w:r>
    </w:p>
    <w:tbl>
      <w:tblPr>
        <w:tblStyle w:val="4"/>
        <w:tblW w:w="12900" w:type="dxa"/>
        <w:jc w:val="center"/>
        <w:tblLayout w:type="autofit"/>
        <w:tblCellMar>
          <w:top w:w="0" w:type="dxa"/>
          <w:left w:w="108" w:type="dxa"/>
          <w:bottom w:w="0" w:type="dxa"/>
          <w:right w:w="108" w:type="dxa"/>
        </w:tblCellMar>
      </w:tblPr>
      <w:tblGrid>
        <w:gridCol w:w="3544"/>
        <w:gridCol w:w="2126"/>
        <w:gridCol w:w="4536"/>
        <w:gridCol w:w="2694"/>
      </w:tblGrid>
      <w:tr>
        <w:tblPrEx>
          <w:tblCellMar>
            <w:top w:w="0" w:type="dxa"/>
            <w:left w:w="108" w:type="dxa"/>
            <w:bottom w:w="0" w:type="dxa"/>
            <w:right w:w="108" w:type="dxa"/>
          </w:tblCellMar>
        </w:tblPrEx>
        <w:trPr>
          <w:trHeight w:val="668"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净资产规模</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担保业务收入合计</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r>
      <w:tr>
        <w:tblPrEx>
          <w:tblCellMar>
            <w:top w:w="0" w:type="dxa"/>
            <w:left w:w="108" w:type="dxa"/>
            <w:bottom w:w="0" w:type="dxa"/>
            <w:right w:w="108" w:type="dxa"/>
          </w:tblCellMar>
        </w:tblPrEx>
        <w:trPr>
          <w:trHeight w:val="705"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ascii="仿宋_GB2312" w:hAnsi="宋体" w:eastAsia="仿宋_GB2312" w:cs="宋体"/>
                <w:color w:val="000000"/>
                <w:kern w:val="0"/>
                <w:sz w:val="28"/>
                <w:szCs w:val="24"/>
              </w:rPr>
              <w:t>本担保机构总人数</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其中：本科及以上人数</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r>
      <w:tr>
        <w:tblPrEx>
          <w:tblCellMar>
            <w:top w:w="0" w:type="dxa"/>
            <w:left w:w="108" w:type="dxa"/>
            <w:bottom w:w="0" w:type="dxa"/>
            <w:right w:w="108" w:type="dxa"/>
          </w:tblCellMar>
        </w:tblPrEx>
        <w:trPr>
          <w:trHeight w:val="560"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新增担保户数</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其中：小微企业担保户数占比</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r>
      <w:tr>
        <w:tblPrEx>
          <w:tblCellMar>
            <w:top w:w="0" w:type="dxa"/>
            <w:left w:w="108" w:type="dxa"/>
            <w:bottom w:w="0" w:type="dxa"/>
            <w:right w:w="108" w:type="dxa"/>
          </w:tblCellMar>
        </w:tblPrEx>
        <w:trPr>
          <w:trHeight w:val="626"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小微企业新增担保额</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拨备覆盖率</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r>
      <w:tr>
        <w:tblPrEx>
          <w:tblCellMar>
            <w:top w:w="0" w:type="dxa"/>
            <w:left w:w="108" w:type="dxa"/>
            <w:bottom w:w="0" w:type="dxa"/>
            <w:right w:w="108" w:type="dxa"/>
          </w:tblCellMar>
        </w:tblPrEx>
        <w:trPr>
          <w:trHeight w:val="626"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本年度累计担保代偿额</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本年度累计代偿回收额</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r>
      <w:tr>
        <w:tblPrEx>
          <w:tblCellMar>
            <w:top w:w="0" w:type="dxa"/>
            <w:left w:w="108" w:type="dxa"/>
            <w:bottom w:w="0" w:type="dxa"/>
            <w:right w:w="108" w:type="dxa"/>
          </w:tblCellMar>
        </w:tblPrEx>
        <w:trPr>
          <w:trHeight w:val="629"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受保企业从业人数合计</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受保企业上年度销售额合计</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8"/>
                <w:szCs w:val="24"/>
              </w:rPr>
            </w:pPr>
          </w:p>
        </w:tc>
      </w:tr>
    </w:tbl>
    <w:p>
      <w:pPr>
        <w:spacing w:line="440" w:lineRule="exact"/>
        <w:rPr>
          <w:rFonts w:ascii="仿宋_GB2312" w:eastAsia="仿宋_GB2312"/>
          <w:color w:val="000000"/>
          <w:sz w:val="28"/>
          <w:szCs w:val="24"/>
        </w:rPr>
      </w:pPr>
    </w:p>
    <w:p>
      <w:pPr>
        <w:spacing w:line="440" w:lineRule="exact"/>
        <w:rPr>
          <w:rFonts w:ascii="仿宋_GB2312" w:eastAsia="仿宋_GB2312"/>
          <w:color w:val="000000"/>
          <w:sz w:val="28"/>
          <w:szCs w:val="24"/>
        </w:rPr>
      </w:pPr>
      <w:r>
        <w:rPr>
          <w:rFonts w:hint="eastAsia" w:ascii="仿宋_GB2312" w:eastAsia="仿宋_GB2312"/>
          <w:color w:val="000000"/>
          <w:sz w:val="28"/>
          <w:szCs w:val="24"/>
        </w:rPr>
        <w:t>注：新增担保户数是指担保户数年度增量；小微企业担保户数占比=小微企业担保户数/担保户数；小微企业新增担保额是指比上年增加的小微企业担保额；拨备覆盖率=担保准备金/担保代偿余额（担保准备金包括未到期责任准备、担保赔偿准备与一般风险准备等年末余额之和；担保代偿余额为担保业务代偿金额合计年末数）；本年度累计代偿回收额指以现金或其他抵债资产的方式在本年度累计回收的担保代偿额。</w:t>
      </w:r>
    </w:p>
    <w:p>
      <w:pPr>
        <w:jc w:val="center"/>
        <w:rPr>
          <w:rFonts w:ascii="仿宋_GB2312" w:eastAsia="仿宋_GB2312"/>
          <w:color w:val="000000"/>
          <w:sz w:val="28"/>
          <w:szCs w:val="24"/>
        </w:rPr>
      </w:pPr>
    </w:p>
    <w:sectPr>
      <w:pgSz w:w="16838" w:h="11906" w:orient="landscape"/>
      <w:pgMar w:top="1588" w:right="2098" w:bottom="147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创艺简">
    <w:altName w:val="汉仪仿宋S"/>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Trebuchet MS">
    <w:panose1 w:val="020B0603020202020204"/>
    <w:charset w:val="00"/>
    <w:family w:val="auto"/>
    <w:pitch w:val="default"/>
    <w:sig w:usb0="00000287" w:usb1="00000000" w:usb2="00000000" w:usb3="00000000" w:csb0="2000009F"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97"/>
    <w:rsid w:val="00007B72"/>
    <w:rsid w:val="00011B33"/>
    <w:rsid w:val="0011032C"/>
    <w:rsid w:val="001668AF"/>
    <w:rsid w:val="001E26CA"/>
    <w:rsid w:val="002B3777"/>
    <w:rsid w:val="002C1356"/>
    <w:rsid w:val="002D706B"/>
    <w:rsid w:val="003B3610"/>
    <w:rsid w:val="003C0662"/>
    <w:rsid w:val="003D0CD6"/>
    <w:rsid w:val="004771A8"/>
    <w:rsid w:val="00482FF8"/>
    <w:rsid w:val="0061228B"/>
    <w:rsid w:val="006E334E"/>
    <w:rsid w:val="006E5987"/>
    <w:rsid w:val="00772A4E"/>
    <w:rsid w:val="00956156"/>
    <w:rsid w:val="00957B22"/>
    <w:rsid w:val="00992B8A"/>
    <w:rsid w:val="009E65FC"/>
    <w:rsid w:val="00A117EF"/>
    <w:rsid w:val="00A11FC3"/>
    <w:rsid w:val="00A1429B"/>
    <w:rsid w:val="00A5002A"/>
    <w:rsid w:val="00A76060"/>
    <w:rsid w:val="00AA1F05"/>
    <w:rsid w:val="00B14EFB"/>
    <w:rsid w:val="00B47243"/>
    <w:rsid w:val="00B948F5"/>
    <w:rsid w:val="00BB2A0A"/>
    <w:rsid w:val="00BE038B"/>
    <w:rsid w:val="00BF0E79"/>
    <w:rsid w:val="00C507E1"/>
    <w:rsid w:val="00D06914"/>
    <w:rsid w:val="00D22E61"/>
    <w:rsid w:val="00D923E3"/>
    <w:rsid w:val="00E26520"/>
    <w:rsid w:val="00E44A17"/>
    <w:rsid w:val="00EC0630"/>
    <w:rsid w:val="00ED4610"/>
    <w:rsid w:val="00FA5D31"/>
    <w:rsid w:val="00FB5597"/>
    <w:rsid w:val="FFBF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658</Words>
  <Characters>3757</Characters>
  <Lines>31</Lines>
  <Paragraphs>8</Paragraphs>
  <TotalTime>6</TotalTime>
  <ScaleCrop>false</ScaleCrop>
  <LinksUpToDate>false</LinksUpToDate>
  <CharactersWithSpaces>4407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2019-01-14T17:09:00Z</dcterms:created>
  <dc:creator>jingx</dc:creator>
  <cp:lastModifiedBy>huawei</cp:lastModifiedBy>
  <dcterms:modified xsi:type="dcterms:W3CDTF">2022-05-13T16:33:35Z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